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5F" w:rsidRPr="00D02614" w:rsidRDefault="001F45B1" w:rsidP="008C460C">
      <w:pPr>
        <w:jc w:val="center"/>
        <w:rPr>
          <w:b/>
          <w:bCs/>
          <w:color w:val="000000"/>
          <w:sz w:val="4"/>
          <w:szCs w:val="4"/>
          <w:lang w:val="en-US" w:eastAsia="en-US"/>
        </w:rPr>
      </w:pPr>
      <w:r w:rsidRPr="00D02614">
        <w:rPr>
          <w:b/>
          <w:bCs/>
          <w:color w:val="000000"/>
          <w:sz w:val="4"/>
          <w:szCs w:val="4"/>
          <w:lang w:val="en-US" w:eastAsia="en-US"/>
        </w:rPr>
        <w:t xml:space="preserve"> </w:t>
      </w:r>
      <w:r w:rsidR="00796EBB">
        <w:rPr>
          <w:b/>
          <w:bCs/>
          <w:noProof/>
          <w:color w:val="000000"/>
          <w:sz w:val="4"/>
          <w:szCs w:val="4"/>
          <w:lang w:val="en-US" w:eastAsia="en-US"/>
        </w:rPr>
        <w:drawing>
          <wp:inline distT="0" distB="0" distL="0" distR="0">
            <wp:extent cx="1257935" cy="1645920"/>
            <wp:effectExtent l="19050" t="0" r="0" b="0"/>
            <wp:docPr id="1" name="صورة 1" descr="Palestine_Logos-01-2-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lestine_Logos-01-2-en"/>
                    <pic:cNvPicPr>
                      <a:picLocks noChangeAspect="1" noChangeArrowheads="1"/>
                    </pic:cNvPicPr>
                  </pic:nvPicPr>
                  <pic:blipFill>
                    <a:blip r:embed="rId8"/>
                    <a:srcRect/>
                    <a:stretch>
                      <a:fillRect/>
                    </a:stretch>
                  </pic:blipFill>
                  <pic:spPr bwMode="auto">
                    <a:xfrm>
                      <a:off x="0" y="0"/>
                      <a:ext cx="1257935" cy="1645920"/>
                    </a:xfrm>
                    <a:prstGeom prst="rect">
                      <a:avLst/>
                    </a:prstGeom>
                    <a:noFill/>
                    <a:ln w="9525">
                      <a:noFill/>
                      <a:miter lim="800000"/>
                      <a:headEnd/>
                      <a:tailEnd/>
                    </a:ln>
                  </pic:spPr>
                </pic:pic>
              </a:graphicData>
            </a:graphic>
          </wp:inline>
        </w:drawing>
      </w:r>
    </w:p>
    <w:p w:rsidR="00FC6B5F" w:rsidRPr="00D02614" w:rsidRDefault="00FC6B5F" w:rsidP="00FC6B5F">
      <w:pPr>
        <w:keepNext/>
        <w:jc w:val="center"/>
        <w:outlineLvl w:val="0"/>
        <w:rPr>
          <w:b/>
          <w:bCs/>
          <w:color w:val="000000"/>
          <w:sz w:val="48"/>
          <w:szCs w:val="48"/>
          <w:lang w:val="en-US" w:eastAsia="en-US"/>
        </w:rPr>
      </w:pPr>
      <w:r w:rsidRPr="00D02614">
        <w:rPr>
          <w:b/>
          <w:bCs/>
          <w:color w:val="000000"/>
          <w:sz w:val="48"/>
          <w:szCs w:val="48"/>
          <w:lang w:val="en-US" w:eastAsia="en-US"/>
        </w:rPr>
        <w:t>State of Palestine</w:t>
      </w:r>
    </w:p>
    <w:p w:rsidR="00FC6B5F" w:rsidRPr="00D02614" w:rsidRDefault="00FC6B5F" w:rsidP="00FC6B5F">
      <w:pPr>
        <w:keepNext/>
        <w:jc w:val="center"/>
        <w:outlineLvl w:val="0"/>
        <w:rPr>
          <w:b/>
          <w:bCs/>
          <w:color w:val="000000"/>
          <w:sz w:val="52"/>
          <w:szCs w:val="52"/>
          <w:lang w:val="en-US" w:eastAsia="en-US"/>
        </w:rPr>
      </w:pPr>
      <w:r w:rsidRPr="00D02614">
        <w:rPr>
          <w:b/>
          <w:bCs/>
          <w:color w:val="000000"/>
          <w:sz w:val="52"/>
          <w:szCs w:val="52"/>
          <w:lang w:val="en-US" w:eastAsia="en-US"/>
        </w:rPr>
        <w:t>Palestinian Central Bureau of Statistics</w:t>
      </w:r>
    </w:p>
    <w:p w:rsidR="00332F62" w:rsidRDefault="00332F62" w:rsidP="00332F62">
      <w:pPr>
        <w:jc w:val="center"/>
        <w:rPr>
          <w:b/>
          <w:bCs/>
          <w:color w:val="000000"/>
          <w:lang w:val="en-US"/>
        </w:rPr>
      </w:pPr>
    </w:p>
    <w:p w:rsidR="00064487" w:rsidRDefault="00064487" w:rsidP="00332F62">
      <w:pPr>
        <w:jc w:val="center"/>
        <w:rPr>
          <w:b/>
          <w:bCs/>
          <w:color w:val="000000"/>
          <w:lang w:val="en-US"/>
        </w:rPr>
      </w:pPr>
    </w:p>
    <w:p w:rsidR="004D08B0" w:rsidRDefault="004D08B0" w:rsidP="00332F62">
      <w:pPr>
        <w:jc w:val="center"/>
        <w:rPr>
          <w:b/>
          <w:bCs/>
          <w:color w:val="000000"/>
          <w:lang w:val="en-US"/>
        </w:rPr>
      </w:pPr>
    </w:p>
    <w:p w:rsidR="004D08B0" w:rsidRDefault="004D08B0" w:rsidP="00332F62">
      <w:pPr>
        <w:jc w:val="center"/>
        <w:rPr>
          <w:b/>
          <w:bCs/>
          <w:color w:val="000000"/>
          <w:lang w:val="en-US"/>
        </w:rPr>
      </w:pPr>
    </w:p>
    <w:p w:rsidR="004D08B0" w:rsidRPr="004D08B0" w:rsidRDefault="004D08B0" w:rsidP="00332F62">
      <w:pPr>
        <w:jc w:val="center"/>
        <w:rPr>
          <w:b/>
          <w:bCs/>
          <w:color w:val="000000"/>
          <w:lang w:val="en-US"/>
        </w:rPr>
      </w:pPr>
    </w:p>
    <w:p w:rsidR="00332F62" w:rsidRDefault="00332F62" w:rsidP="00216668">
      <w:pPr>
        <w:rPr>
          <w:b/>
          <w:bCs/>
          <w:noProof/>
          <w:color w:val="000000"/>
          <w:lang w:val="en-US"/>
        </w:rPr>
      </w:pPr>
    </w:p>
    <w:p w:rsidR="00332F62" w:rsidRPr="00C11785" w:rsidRDefault="00332F62" w:rsidP="00332F62">
      <w:pPr>
        <w:jc w:val="center"/>
        <w:rPr>
          <w:b/>
          <w:bCs/>
          <w:color w:val="000000"/>
        </w:rPr>
      </w:pPr>
    </w:p>
    <w:p w:rsidR="00332F62" w:rsidRPr="00C11785" w:rsidRDefault="00332F62" w:rsidP="00332F62">
      <w:pPr>
        <w:jc w:val="center"/>
        <w:rPr>
          <w:b/>
          <w:bCs/>
          <w:color w:val="000000"/>
        </w:rPr>
      </w:pPr>
    </w:p>
    <w:p w:rsidR="00064487" w:rsidRDefault="00064487" w:rsidP="00064487">
      <w:pPr>
        <w:spacing w:line="360" w:lineRule="auto"/>
        <w:jc w:val="center"/>
        <w:rPr>
          <w:rFonts w:asciiTheme="majorBidi" w:hAnsiTheme="majorBidi" w:cstheme="majorBidi"/>
          <w:b/>
          <w:bCs/>
          <w:sz w:val="40"/>
          <w:szCs w:val="40"/>
          <w:lang w:val="en-US"/>
        </w:rPr>
      </w:pPr>
      <w:r w:rsidRPr="00064487">
        <w:rPr>
          <w:rFonts w:asciiTheme="majorBidi" w:hAnsiTheme="majorBidi" w:cstheme="majorBidi"/>
          <w:b/>
          <w:bCs/>
          <w:sz w:val="40"/>
          <w:szCs w:val="40"/>
        </w:rPr>
        <w:t>Sustainable Housing Development in Palestine</w:t>
      </w:r>
    </w:p>
    <w:p w:rsidR="00064487" w:rsidRPr="00064487" w:rsidRDefault="00064487" w:rsidP="00064487">
      <w:pPr>
        <w:spacing w:line="360" w:lineRule="auto"/>
        <w:jc w:val="center"/>
        <w:rPr>
          <w:rFonts w:asciiTheme="majorBidi" w:hAnsiTheme="majorBidi" w:cstheme="majorBidi"/>
          <w:b/>
          <w:bCs/>
          <w:sz w:val="40"/>
          <w:szCs w:val="40"/>
        </w:rPr>
      </w:pPr>
      <w:r w:rsidRPr="00064487">
        <w:rPr>
          <w:rFonts w:asciiTheme="majorBidi" w:hAnsiTheme="majorBidi" w:cstheme="majorBidi"/>
          <w:b/>
          <w:bCs/>
          <w:sz w:val="40"/>
          <w:szCs w:val="40"/>
        </w:rPr>
        <w:t xml:space="preserve"> 2007</w:t>
      </w:r>
      <w:r>
        <w:rPr>
          <w:rFonts w:asciiTheme="majorBidi" w:hAnsiTheme="majorBidi" w:cstheme="majorBidi"/>
          <w:b/>
          <w:bCs/>
          <w:sz w:val="40"/>
          <w:szCs w:val="40"/>
          <w:lang w:val="en-US"/>
        </w:rPr>
        <w:t xml:space="preserve">, </w:t>
      </w:r>
      <w:r w:rsidRPr="00064487">
        <w:rPr>
          <w:rFonts w:asciiTheme="majorBidi" w:hAnsiTheme="majorBidi" w:cstheme="majorBidi"/>
          <w:b/>
          <w:bCs/>
          <w:sz w:val="40"/>
          <w:szCs w:val="40"/>
        </w:rPr>
        <w:t>2017</w:t>
      </w:r>
    </w:p>
    <w:p w:rsidR="003557E2" w:rsidRPr="00064487" w:rsidRDefault="003557E2" w:rsidP="00355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40"/>
          <w:szCs w:val="40"/>
          <w:lang w:eastAsia="fr-FR"/>
        </w:rPr>
      </w:pPr>
    </w:p>
    <w:p w:rsidR="00332F62" w:rsidRDefault="00332F62" w:rsidP="00332F62">
      <w:pPr>
        <w:pStyle w:val="Title"/>
      </w:pPr>
    </w:p>
    <w:p w:rsidR="00332F62" w:rsidRDefault="00332F62" w:rsidP="00332F62">
      <w:pPr>
        <w:pStyle w:val="Title"/>
      </w:pPr>
    </w:p>
    <w:p w:rsidR="00332F62" w:rsidRPr="007E7DF1" w:rsidRDefault="00332F62" w:rsidP="00332F62">
      <w:pPr>
        <w:pStyle w:val="Title"/>
      </w:pPr>
    </w:p>
    <w:p w:rsidR="004D08B0" w:rsidRPr="004D08B0" w:rsidRDefault="004D08B0" w:rsidP="00332F62">
      <w:pPr>
        <w:pStyle w:val="Title"/>
        <w:rPr>
          <w:rtl/>
          <w:lang w:val="en-US"/>
        </w:rPr>
      </w:pPr>
    </w:p>
    <w:p w:rsidR="00332F62" w:rsidRPr="00C11785" w:rsidRDefault="00332F62" w:rsidP="00332F62">
      <w:pPr>
        <w:pStyle w:val="Title"/>
      </w:pPr>
    </w:p>
    <w:p w:rsidR="00332F62" w:rsidRPr="004D08B0" w:rsidRDefault="00332F62" w:rsidP="00332F62">
      <w:pPr>
        <w:pStyle w:val="Title"/>
        <w:rPr>
          <w:sz w:val="32"/>
          <w:szCs w:val="32"/>
        </w:rPr>
      </w:pPr>
      <w:r w:rsidRPr="004D08B0">
        <w:rPr>
          <w:sz w:val="32"/>
          <w:szCs w:val="32"/>
        </w:rPr>
        <w:t>Prepared by</w:t>
      </w:r>
    </w:p>
    <w:p w:rsidR="00332F62" w:rsidRDefault="00EF6733" w:rsidP="00332F62">
      <w:pPr>
        <w:jc w:val="center"/>
        <w:rPr>
          <w:b/>
          <w:bCs/>
          <w:sz w:val="32"/>
          <w:szCs w:val="32"/>
          <w:lang w:val="en-US"/>
        </w:rPr>
      </w:pPr>
      <w:r w:rsidRPr="00EF6733">
        <w:rPr>
          <w:b/>
          <w:bCs/>
          <w:sz w:val="32"/>
          <w:szCs w:val="32"/>
        </w:rPr>
        <w:t>Dr. Raed Ahmed Salha</w:t>
      </w:r>
    </w:p>
    <w:p w:rsidR="00EF6733" w:rsidRPr="00EF6733" w:rsidRDefault="00EF6733" w:rsidP="004C27FA">
      <w:pPr>
        <w:jc w:val="center"/>
        <w:rPr>
          <w:b/>
          <w:bCs/>
          <w:sz w:val="32"/>
          <w:szCs w:val="32"/>
        </w:rPr>
      </w:pPr>
      <w:r w:rsidRPr="00EF6733">
        <w:rPr>
          <w:b/>
          <w:bCs/>
          <w:sz w:val="32"/>
          <w:szCs w:val="32"/>
        </w:rPr>
        <w:t>Ph.D. Mohammad Osama Badawy</w:t>
      </w:r>
    </w:p>
    <w:p w:rsidR="00332F62" w:rsidRDefault="00332F62"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4D08B0" w:rsidRDefault="004D08B0" w:rsidP="00216668">
      <w:pPr>
        <w:rPr>
          <w:color w:val="000000"/>
          <w:lang w:val="en-US"/>
        </w:rPr>
      </w:pPr>
    </w:p>
    <w:p w:rsidR="004D08B0" w:rsidRPr="00216668" w:rsidRDefault="004D08B0" w:rsidP="00216668">
      <w:pPr>
        <w:rPr>
          <w:color w:val="000000"/>
          <w:lang w:val="en-US"/>
        </w:rPr>
      </w:pPr>
    </w:p>
    <w:tbl>
      <w:tblPr>
        <w:tblpPr w:leftFromText="180" w:rightFromText="180" w:vertAnchor="text" w:horzAnchor="margin" w:tblpY="150"/>
        <w:tblW w:w="9072" w:type="dxa"/>
        <w:tblBorders>
          <w:top w:val="single" w:sz="4" w:space="0" w:color="auto"/>
        </w:tblBorders>
        <w:tblLook w:val="04A0" w:firstRow="1" w:lastRow="0" w:firstColumn="1" w:lastColumn="0" w:noHBand="0" w:noVBand="1"/>
      </w:tblPr>
      <w:tblGrid>
        <w:gridCol w:w="4535"/>
        <w:gridCol w:w="4537"/>
      </w:tblGrid>
      <w:tr w:rsidR="00332F62" w:rsidRPr="00C11785" w:rsidTr="00A8560F">
        <w:trPr>
          <w:trHeight w:val="1692"/>
        </w:trPr>
        <w:tc>
          <w:tcPr>
            <w:tcW w:w="4535" w:type="dxa"/>
          </w:tcPr>
          <w:p w:rsidR="00332F62" w:rsidRPr="00C11785" w:rsidRDefault="00796EBB" w:rsidP="00A8560F">
            <w:r>
              <w:rPr>
                <w:noProof/>
                <w:lang w:val="en-US" w:eastAsia="en-US"/>
              </w:rPr>
              <w:drawing>
                <wp:inline distT="0" distB="0" distL="0" distR="0">
                  <wp:extent cx="789940" cy="789940"/>
                  <wp:effectExtent l="19050" t="0" r="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a:srcRect/>
                          <a:stretch>
                            <a:fillRect/>
                          </a:stretch>
                        </pic:blipFill>
                        <pic:spPr bwMode="auto">
                          <a:xfrm>
                            <a:off x="0" y="0"/>
                            <a:ext cx="789940" cy="789940"/>
                          </a:xfrm>
                          <a:prstGeom prst="rect">
                            <a:avLst/>
                          </a:prstGeom>
                          <a:noFill/>
                          <a:ln w="9525">
                            <a:noFill/>
                            <a:miter lim="800000"/>
                            <a:headEnd/>
                            <a:tailEnd/>
                          </a:ln>
                        </pic:spPr>
                      </pic:pic>
                    </a:graphicData>
                  </a:graphic>
                </wp:inline>
              </w:drawing>
            </w:r>
          </w:p>
        </w:tc>
        <w:tc>
          <w:tcPr>
            <w:tcW w:w="4537" w:type="dxa"/>
          </w:tcPr>
          <w:p w:rsidR="00332F62" w:rsidRPr="00C11785" w:rsidRDefault="00796EBB" w:rsidP="00A8560F">
            <w:pPr>
              <w:pStyle w:val="Heading5"/>
              <w:jc w:val="right"/>
              <w:rPr>
                <w:rFonts w:ascii="Times New Roman" w:eastAsia="Calibri" w:hAnsi="Times New Roman"/>
                <w:b w:val="0"/>
                <w:bCs w:val="0"/>
                <w:i w:val="0"/>
                <w:iCs w:val="0"/>
                <w:sz w:val="24"/>
                <w:szCs w:val="24"/>
              </w:rPr>
            </w:pPr>
            <w:r>
              <w:rPr>
                <w:rFonts w:ascii="Times New Roman" w:eastAsia="Calibri" w:hAnsi="Times New Roman"/>
                <w:b w:val="0"/>
                <w:bCs w:val="0"/>
                <w:i w:val="0"/>
                <w:iCs w:val="0"/>
                <w:noProof/>
                <w:sz w:val="24"/>
                <w:szCs w:val="24"/>
                <w:lang w:val="en-US" w:eastAsia="en-US"/>
              </w:rPr>
              <w:drawing>
                <wp:inline distT="0" distB="0" distL="0" distR="0">
                  <wp:extent cx="899795" cy="336550"/>
                  <wp:effectExtent l="19050" t="0" r="0" b="0"/>
                  <wp:docPr id="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a:srcRect/>
                          <a:stretch>
                            <a:fillRect/>
                          </a:stretch>
                        </pic:blipFill>
                        <pic:spPr bwMode="auto">
                          <a:xfrm>
                            <a:off x="0" y="0"/>
                            <a:ext cx="899795" cy="336550"/>
                          </a:xfrm>
                          <a:prstGeom prst="rect">
                            <a:avLst/>
                          </a:prstGeom>
                          <a:noFill/>
                          <a:ln w="9525">
                            <a:noFill/>
                            <a:miter lim="800000"/>
                            <a:headEnd/>
                            <a:tailEnd/>
                          </a:ln>
                        </pic:spPr>
                      </pic:pic>
                    </a:graphicData>
                  </a:graphic>
                </wp:inline>
              </w:drawing>
            </w:r>
          </w:p>
          <w:p w:rsidR="00332F62" w:rsidRPr="0021641D" w:rsidRDefault="00332F62" w:rsidP="00A8560F">
            <w:pPr>
              <w:jc w:val="right"/>
              <w:rPr>
                <w:sz w:val="12"/>
                <w:szCs w:val="12"/>
              </w:rPr>
            </w:pPr>
          </w:p>
          <w:p w:rsidR="00332F62" w:rsidRPr="00081C7F" w:rsidRDefault="005D751C" w:rsidP="00081C7F">
            <w:pPr>
              <w:jc w:val="right"/>
              <w:rPr>
                <w:b/>
                <w:bCs/>
                <w:color w:val="000000"/>
                <w:lang w:val="en-US"/>
              </w:rPr>
            </w:pPr>
            <w:r>
              <w:rPr>
                <w:b/>
                <w:bCs/>
                <w:color w:val="000000"/>
                <w:lang w:val="en-US"/>
              </w:rPr>
              <w:t>August</w:t>
            </w:r>
            <w:r w:rsidR="00332F62" w:rsidRPr="00C11785">
              <w:rPr>
                <w:b/>
                <w:bCs/>
                <w:color w:val="000000"/>
              </w:rPr>
              <w:t xml:space="preserve">, </w:t>
            </w:r>
            <w:r w:rsidR="00081C7F">
              <w:rPr>
                <w:b/>
                <w:bCs/>
                <w:color w:val="000000"/>
                <w:lang w:val="en-US"/>
              </w:rPr>
              <w:t>2020</w:t>
            </w:r>
          </w:p>
          <w:p w:rsidR="00332F62" w:rsidRPr="00C11785" w:rsidRDefault="00332F62" w:rsidP="00A8560F">
            <w:pPr>
              <w:jc w:val="right"/>
              <w:rPr>
                <w:rtl/>
              </w:rPr>
            </w:pPr>
          </w:p>
        </w:tc>
      </w:tr>
    </w:tbl>
    <w:p w:rsidR="00332F62" w:rsidRPr="00C11785" w:rsidRDefault="00332F62" w:rsidP="00332F62">
      <w:pPr>
        <w:jc w:val="center"/>
        <w:rPr>
          <w:color w:val="000000"/>
          <w:lang w:val="en-US" w:eastAsia="en-US"/>
        </w:rPr>
      </w:pPr>
    </w:p>
    <w:p w:rsidR="00332F62" w:rsidRPr="00C11785" w:rsidRDefault="00053430" w:rsidP="00332F62">
      <w:pPr>
        <w:jc w:val="center"/>
        <w:rPr>
          <w:color w:val="000000"/>
          <w:lang w:val="en-US" w:eastAsia="en-US"/>
        </w:rPr>
      </w:pPr>
      <w:r>
        <w:rPr>
          <w:noProof/>
          <w:lang w:val="en-US" w:eastAsia="en-US"/>
        </w:rPr>
        <w:pict>
          <v:shapetype id="_x0000_t202" coordsize="21600,21600" o:spt="202" path="m,l,21600r21600,l21600,xe">
            <v:stroke joinstyle="miter"/>
            <v:path gradientshapeok="t" o:connecttype="rect"/>
          </v:shapetype>
          <v:shape id="Text Box 3" o:spid="_x0000_s1026" type="#_x0000_t202" style="position:absolute;left:0;text-align:left;margin-left:16.15pt;margin-top:.55pt;width:427.6pt;height:71.15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" strokeweight="6pt">
            <v:stroke linestyle="thickBetweenThin"/>
            <v:textbox>
              <w:txbxContent>
                <w:p w:rsidR="003A5174" w:rsidRPr="008365DA" w:rsidRDefault="003A5174" w:rsidP="00332F62">
                  <w:pPr>
                    <w:pStyle w:val="BodyText2"/>
                    <w:spacing w:after="0" w:line="240" w:lineRule="auto"/>
                    <w:ind w:right="46"/>
                    <w:jc w:val="both"/>
                    <w:rPr>
                      <w:sz w:val="30"/>
                      <w:szCs w:val="30"/>
                      <w:rtl/>
                      <w:lang w:val="en-AU"/>
                    </w:rPr>
                  </w:pPr>
                  <w:r w:rsidRPr="008365DA">
                    <w:rPr>
                      <w:sz w:val="30"/>
                      <w:szCs w:val="30"/>
                      <w:lang w:val="en-US" w:eastAsia="en-US"/>
                    </w:rPr>
                    <w:t>This document is prepared in accordance with the standard procedures stated in the Code of Practice for Palestine Official</w:t>
                  </w:r>
                  <w:r w:rsidRPr="008365DA">
                    <w:rPr>
                      <w:sz w:val="30"/>
                      <w:szCs w:val="30"/>
                    </w:rPr>
                    <w:t xml:space="preserve"> Statistics 2006</w:t>
                  </w:r>
                </w:p>
              </w:txbxContent>
            </v:textbox>
          </v:shape>
        </w:pict>
      </w: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lang w:val="en-US" w:eastAsia="en-US"/>
        </w:rPr>
      </w:pPr>
    </w:p>
    <w:p w:rsidR="00332F62" w:rsidRPr="00C11785" w:rsidRDefault="00332F62" w:rsidP="00332F62">
      <w:pPr>
        <w:jc w:val="center"/>
        <w:rPr>
          <w:color w:val="000000"/>
          <w:rtl/>
        </w:rPr>
      </w:pPr>
    </w:p>
    <w:p w:rsidR="00332F62" w:rsidRPr="00C11785" w:rsidRDefault="00796EBB" w:rsidP="00332F62">
      <w:pPr>
        <w:snapToGrid w:val="0"/>
        <w:jc w:val="center"/>
        <w:rPr>
          <w:color w:val="000000"/>
        </w:rPr>
      </w:pPr>
      <w:r>
        <w:rPr>
          <w:noProof/>
          <w:color w:val="000000"/>
          <w:lang w:val="en-US" w:eastAsia="en-US"/>
        </w:rPr>
        <w:drawing>
          <wp:inline distT="0" distB="0" distL="0" distR="0">
            <wp:extent cx="1916430" cy="2428875"/>
            <wp:effectExtent l="19050" t="0" r="7620" b="0"/>
            <wp:docPr id="5"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1"/>
                    <a:srcRect/>
                    <a:stretch>
                      <a:fillRect/>
                    </a:stretch>
                  </pic:blipFill>
                  <pic:spPr bwMode="auto">
                    <a:xfrm>
                      <a:off x="0" y="0"/>
                      <a:ext cx="1916430" cy="2428875"/>
                    </a:xfrm>
                    <a:prstGeom prst="rect">
                      <a:avLst/>
                    </a:prstGeom>
                    <a:noFill/>
                    <a:ln w="9525">
                      <a:noFill/>
                      <a:miter lim="800000"/>
                      <a:headEnd/>
                      <a:tailEnd/>
                    </a:ln>
                  </pic:spPr>
                </pic:pic>
              </a:graphicData>
            </a:graphic>
          </wp:inline>
        </w:drawing>
      </w:r>
    </w:p>
    <w:p w:rsidR="00332F62" w:rsidRPr="00C11785" w:rsidRDefault="00332F62" w:rsidP="00332F62">
      <w:pPr>
        <w:snapToGrid w:val="0"/>
        <w:jc w:val="center"/>
        <w:rPr>
          <w:color w:val="000000"/>
        </w:rPr>
      </w:pPr>
    </w:p>
    <w:p w:rsidR="00332F62" w:rsidRPr="00C11785" w:rsidRDefault="00332F62" w:rsidP="00332F62">
      <w:pPr>
        <w:snapToGrid w:val="0"/>
        <w:rPr>
          <w:color w:val="000000"/>
        </w:rPr>
      </w:pPr>
    </w:p>
    <w:p w:rsidR="00332F62" w:rsidRPr="008365DA" w:rsidRDefault="00332F62" w:rsidP="005D751C">
      <w:pPr>
        <w:snapToGrid w:val="0"/>
        <w:rPr>
          <w:color w:val="000000"/>
          <w:sz w:val="20"/>
          <w:szCs w:val="20"/>
        </w:rPr>
      </w:pPr>
      <w:r w:rsidRPr="008365DA">
        <w:rPr>
          <w:color w:val="000000"/>
          <w:sz w:val="20"/>
          <w:szCs w:val="20"/>
        </w:rPr>
        <w:sym w:font="Symbol" w:char="00D3"/>
      </w:r>
      <w:r w:rsidRPr="008365DA">
        <w:rPr>
          <w:b/>
          <w:bCs/>
          <w:color w:val="000000"/>
          <w:sz w:val="20"/>
          <w:szCs w:val="20"/>
        </w:rPr>
        <w:t xml:space="preserve"> </w:t>
      </w:r>
      <w:r w:rsidR="005D751C">
        <w:rPr>
          <w:color w:val="000000"/>
          <w:sz w:val="20"/>
          <w:szCs w:val="20"/>
          <w:lang w:val="en-US"/>
        </w:rPr>
        <w:t>August</w:t>
      </w:r>
      <w:r w:rsidR="00D968FE">
        <w:rPr>
          <w:color w:val="000000"/>
          <w:sz w:val="20"/>
          <w:szCs w:val="20"/>
          <w:lang w:val="en-US"/>
        </w:rPr>
        <w:t>,</w:t>
      </w:r>
      <w:r w:rsidRPr="008365DA">
        <w:rPr>
          <w:color w:val="000000"/>
          <w:sz w:val="20"/>
          <w:szCs w:val="20"/>
          <w:lang w:val="en-AU"/>
        </w:rPr>
        <w:t xml:space="preserve"> </w:t>
      </w:r>
      <w:r w:rsidR="00081C7F">
        <w:rPr>
          <w:color w:val="000000"/>
          <w:sz w:val="20"/>
          <w:szCs w:val="20"/>
          <w:lang w:val="en-AU"/>
        </w:rPr>
        <w:t>2020</w:t>
      </w:r>
    </w:p>
    <w:p w:rsidR="00332F62" w:rsidRPr="008365DA" w:rsidRDefault="00332F62" w:rsidP="00332F62">
      <w:pPr>
        <w:snapToGrid w:val="0"/>
        <w:rPr>
          <w:b/>
          <w:bCs/>
          <w:color w:val="000000"/>
          <w:sz w:val="20"/>
          <w:szCs w:val="20"/>
        </w:rPr>
      </w:pPr>
      <w:r w:rsidRPr="008365DA">
        <w:rPr>
          <w:b/>
          <w:bCs/>
          <w:color w:val="000000"/>
          <w:sz w:val="20"/>
          <w:szCs w:val="20"/>
        </w:rPr>
        <w:t>All rights reserved</w:t>
      </w:r>
    </w:p>
    <w:p w:rsidR="00332F62" w:rsidRPr="008365DA" w:rsidRDefault="00332F62" w:rsidP="00332F62">
      <w:pPr>
        <w:snapToGrid w:val="0"/>
        <w:rPr>
          <w:b/>
          <w:bCs/>
          <w:color w:val="000000"/>
          <w:sz w:val="20"/>
          <w:szCs w:val="20"/>
        </w:rPr>
      </w:pPr>
    </w:p>
    <w:p w:rsidR="00332F62" w:rsidRPr="008365DA" w:rsidRDefault="00332F62" w:rsidP="00332F62">
      <w:pPr>
        <w:snapToGrid w:val="0"/>
        <w:rPr>
          <w:b/>
          <w:bCs/>
          <w:color w:val="000000"/>
          <w:sz w:val="20"/>
          <w:szCs w:val="20"/>
        </w:rPr>
      </w:pPr>
      <w:r w:rsidRPr="008365DA">
        <w:rPr>
          <w:b/>
          <w:bCs/>
          <w:color w:val="000000"/>
          <w:sz w:val="20"/>
          <w:szCs w:val="20"/>
        </w:rPr>
        <w:t>Citation:</w:t>
      </w:r>
    </w:p>
    <w:p w:rsidR="00332F62" w:rsidRPr="00C11785" w:rsidRDefault="00332F62" w:rsidP="00332F62">
      <w:pPr>
        <w:rPr>
          <w:b/>
          <w:bCs/>
          <w:color w:val="000000"/>
        </w:rPr>
      </w:pPr>
    </w:p>
    <w:p w:rsidR="00064487" w:rsidRPr="00064487" w:rsidRDefault="00332F62" w:rsidP="00064487">
      <w:pPr>
        <w:spacing w:line="360" w:lineRule="auto"/>
        <w:rPr>
          <w:rFonts w:asciiTheme="majorBidi" w:hAnsiTheme="majorBidi" w:cstheme="majorBidi"/>
          <w:i/>
          <w:iCs/>
        </w:rPr>
      </w:pPr>
      <w:r w:rsidRPr="00D02614">
        <w:rPr>
          <w:b/>
          <w:bCs/>
        </w:rPr>
        <w:t xml:space="preserve">Palestinian Central Bureau of Statistics, </w:t>
      </w:r>
      <w:r w:rsidR="00081C7F" w:rsidRPr="00D02614">
        <w:rPr>
          <w:b/>
          <w:bCs/>
        </w:rPr>
        <w:t>2020</w:t>
      </w:r>
      <w:r w:rsidRPr="00D02614">
        <w:rPr>
          <w:b/>
          <w:bCs/>
        </w:rPr>
        <w:t>.</w:t>
      </w:r>
      <w:r w:rsidRPr="00D02614">
        <w:t xml:space="preserve">  </w:t>
      </w:r>
      <w:r w:rsidR="00064487" w:rsidRPr="00064487">
        <w:rPr>
          <w:rFonts w:asciiTheme="majorBidi" w:hAnsiTheme="majorBidi" w:cstheme="majorBidi"/>
          <w:i/>
          <w:iCs/>
        </w:rPr>
        <w:t>Sustainable Housing Development in Palestine 2007</w:t>
      </w:r>
      <w:r w:rsidR="00064487" w:rsidRPr="00064487">
        <w:rPr>
          <w:rFonts w:asciiTheme="majorBidi" w:hAnsiTheme="majorBidi" w:cstheme="majorBidi"/>
          <w:i/>
          <w:iCs/>
          <w:lang w:val="en-US"/>
        </w:rPr>
        <w:t xml:space="preserve">, </w:t>
      </w:r>
      <w:r w:rsidR="00064487" w:rsidRPr="00064487">
        <w:rPr>
          <w:rFonts w:asciiTheme="majorBidi" w:hAnsiTheme="majorBidi" w:cstheme="majorBidi"/>
          <w:i/>
          <w:iCs/>
        </w:rPr>
        <w:t>2017</w:t>
      </w:r>
    </w:p>
    <w:p w:rsidR="00332F62" w:rsidRPr="00C11785" w:rsidRDefault="00332F62" w:rsidP="00064487">
      <w:pPr>
        <w:rPr>
          <w:color w:val="000000"/>
        </w:rPr>
      </w:pPr>
      <w:r w:rsidRPr="00C11785">
        <w:rPr>
          <w:color w:val="000000"/>
        </w:rPr>
        <w:t>Ramallah - Palestine.</w:t>
      </w:r>
    </w:p>
    <w:p w:rsidR="00332F62" w:rsidRPr="00C11785" w:rsidRDefault="00332F62" w:rsidP="00332F62">
      <w:pPr>
        <w:rPr>
          <w:color w:val="000000"/>
        </w:rPr>
      </w:pPr>
    </w:p>
    <w:p w:rsidR="00332F62" w:rsidRPr="00C11785" w:rsidRDefault="00332F62" w:rsidP="00332F62">
      <w:pPr>
        <w:rPr>
          <w:color w:val="000000"/>
        </w:rPr>
      </w:pPr>
    </w:p>
    <w:tbl>
      <w:tblPr>
        <w:tblpPr w:leftFromText="180" w:rightFromText="180" w:vertAnchor="text" w:tblpXSpec="center" w:tblpY="1"/>
        <w:tblOverlap w:val="never"/>
        <w:tblW w:w="9072" w:type="dxa"/>
        <w:jc w:val="center"/>
        <w:tblLook w:val="04A0" w:firstRow="1" w:lastRow="0" w:firstColumn="1" w:lastColumn="0" w:noHBand="0" w:noVBand="1"/>
      </w:tblPr>
      <w:tblGrid>
        <w:gridCol w:w="4542"/>
        <w:gridCol w:w="2403"/>
        <w:gridCol w:w="2127"/>
      </w:tblGrid>
      <w:tr w:rsidR="00CE504B" w:rsidRPr="001509FF" w:rsidTr="00D02614">
        <w:trPr>
          <w:trHeight w:val="275"/>
          <w:jc w:val="center"/>
        </w:trPr>
        <w:tc>
          <w:tcPr>
            <w:tcW w:w="4542" w:type="dxa"/>
            <w:vMerge w:val="restart"/>
            <w:shd w:val="clear" w:color="auto" w:fill="auto"/>
          </w:tcPr>
          <w:p w:rsidR="00CE504B" w:rsidRPr="00D02614" w:rsidRDefault="00CE504B" w:rsidP="00D02614">
            <w:pPr>
              <w:ind w:hanging="142"/>
              <w:rPr>
                <w:color w:val="000000"/>
                <w:sz w:val="20"/>
                <w:szCs w:val="20"/>
              </w:rPr>
            </w:pPr>
            <w:r w:rsidRPr="00D02614">
              <w:rPr>
                <w:color w:val="000000"/>
                <w:sz w:val="20"/>
                <w:szCs w:val="20"/>
              </w:rPr>
              <w:t>All correspondence should</w:t>
            </w:r>
            <w:r w:rsidRPr="00D02614">
              <w:rPr>
                <w:color w:val="000000"/>
                <w:sz w:val="20"/>
                <w:szCs w:val="20"/>
                <w:rtl/>
              </w:rPr>
              <w:t xml:space="preserve"> </w:t>
            </w:r>
            <w:r w:rsidRPr="00D02614">
              <w:rPr>
                <w:color w:val="000000"/>
                <w:sz w:val="20"/>
                <w:szCs w:val="20"/>
              </w:rPr>
              <w:t>be directed to</w:t>
            </w:r>
            <w:r w:rsidRPr="00D02614">
              <w:rPr>
                <w:color w:val="000000"/>
                <w:sz w:val="20"/>
                <w:szCs w:val="20"/>
                <w:rtl/>
              </w:rPr>
              <w:t>:</w:t>
            </w:r>
          </w:p>
          <w:p w:rsidR="00CE504B" w:rsidRPr="00D02614" w:rsidRDefault="00CE504B" w:rsidP="00D02614">
            <w:pPr>
              <w:ind w:hanging="142"/>
              <w:rPr>
                <w:b/>
                <w:bCs/>
                <w:color w:val="000000"/>
                <w:sz w:val="20"/>
                <w:szCs w:val="20"/>
              </w:rPr>
            </w:pPr>
            <w:r w:rsidRPr="00D02614">
              <w:rPr>
                <w:b/>
                <w:bCs/>
                <w:color w:val="000000"/>
                <w:sz w:val="20"/>
                <w:szCs w:val="20"/>
              </w:rPr>
              <w:t>Palestinian Central Bureau of Statistics</w:t>
            </w:r>
          </w:p>
          <w:p w:rsidR="00CE504B" w:rsidRPr="00D02614" w:rsidRDefault="00CE504B" w:rsidP="00D02614">
            <w:pPr>
              <w:ind w:hanging="142"/>
              <w:rPr>
                <w:color w:val="000000"/>
                <w:sz w:val="20"/>
                <w:szCs w:val="20"/>
              </w:rPr>
            </w:pPr>
            <w:r w:rsidRPr="00D02614">
              <w:rPr>
                <w:b/>
                <w:bCs/>
                <w:color w:val="000000"/>
                <w:sz w:val="20"/>
                <w:szCs w:val="20"/>
              </w:rPr>
              <w:t>P. O. Box 1647,</w:t>
            </w:r>
            <w:r w:rsidRPr="00D02614">
              <w:rPr>
                <w:color w:val="000000"/>
                <w:sz w:val="20"/>
                <w:szCs w:val="20"/>
              </w:rPr>
              <w:t xml:space="preserve"> Ramallah – Palestine. </w:t>
            </w:r>
          </w:p>
          <w:p w:rsidR="00CE504B" w:rsidRPr="00D02614" w:rsidRDefault="00CE504B" w:rsidP="00D02614">
            <w:pPr>
              <w:ind w:hanging="142"/>
              <w:rPr>
                <w:color w:val="000000"/>
                <w:sz w:val="20"/>
                <w:szCs w:val="20"/>
                <w:lang w:eastAsia="fr-FR"/>
              </w:rPr>
            </w:pPr>
            <w:r w:rsidRPr="00D02614">
              <w:rPr>
                <w:color w:val="000000"/>
                <w:sz w:val="20"/>
                <w:szCs w:val="20"/>
                <w:lang w:eastAsia="fr-FR"/>
              </w:rPr>
              <w:t>Tel</w:t>
            </w:r>
            <w:r w:rsidR="00060948">
              <w:rPr>
                <w:color w:val="000000"/>
                <w:sz w:val="20"/>
                <w:szCs w:val="20"/>
                <w:lang w:val="en-US" w:eastAsia="fr-FR"/>
              </w:rPr>
              <w:t>.</w:t>
            </w:r>
            <w:r w:rsidRPr="00D02614">
              <w:rPr>
                <w:color w:val="000000"/>
                <w:sz w:val="20"/>
                <w:szCs w:val="20"/>
                <w:lang w:eastAsia="fr-FR"/>
              </w:rPr>
              <w:t xml:space="preserve">: </w:t>
            </w:r>
            <w:r w:rsidRPr="00D02614">
              <w:rPr>
                <w:color w:val="000000"/>
                <w:sz w:val="20"/>
                <w:szCs w:val="20"/>
              </w:rPr>
              <w:t>(970/972) 2 2982700</w:t>
            </w:r>
          </w:p>
          <w:p w:rsidR="00CE504B" w:rsidRPr="00D02614" w:rsidRDefault="00CE504B" w:rsidP="00D02614">
            <w:pPr>
              <w:ind w:hanging="142"/>
              <w:rPr>
                <w:color w:val="000000"/>
                <w:sz w:val="20"/>
                <w:szCs w:val="20"/>
              </w:rPr>
            </w:pPr>
            <w:r w:rsidRPr="00D02614">
              <w:rPr>
                <w:color w:val="000000"/>
                <w:sz w:val="20"/>
                <w:szCs w:val="20"/>
                <w:lang w:eastAsia="fr-FR"/>
              </w:rPr>
              <w:t xml:space="preserve">Fax: </w:t>
            </w:r>
            <w:r w:rsidRPr="00D02614">
              <w:rPr>
                <w:color w:val="000000"/>
                <w:sz w:val="20"/>
                <w:szCs w:val="20"/>
              </w:rPr>
              <w:t>(970/972) 2 2982710</w:t>
            </w:r>
          </w:p>
          <w:p w:rsidR="00CE504B" w:rsidRPr="00D02614" w:rsidRDefault="00CE504B" w:rsidP="00D02614">
            <w:pPr>
              <w:ind w:hanging="142"/>
              <w:rPr>
                <w:color w:val="000000"/>
                <w:sz w:val="20"/>
                <w:szCs w:val="20"/>
                <w:rtl/>
              </w:rPr>
            </w:pPr>
            <w:r w:rsidRPr="00D02614">
              <w:rPr>
                <w:color w:val="000000"/>
                <w:sz w:val="20"/>
                <w:szCs w:val="20"/>
              </w:rPr>
              <w:t>Toll Free:1800300300</w:t>
            </w:r>
          </w:p>
          <w:p w:rsidR="00CE504B" w:rsidRPr="00D02614" w:rsidRDefault="00CE504B" w:rsidP="00060948">
            <w:pPr>
              <w:ind w:hanging="142"/>
              <w:rPr>
                <w:color w:val="000000"/>
                <w:sz w:val="20"/>
                <w:szCs w:val="20"/>
              </w:rPr>
            </w:pPr>
            <w:r w:rsidRPr="00D02614">
              <w:rPr>
                <w:color w:val="000000"/>
                <w:sz w:val="20"/>
                <w:szCs w:val="20"/>
                <w:lang w:eastAsia="fr-FR"/>
              </w:rPr>
              <w:t>E</w:t>
            </w:r>
            <w:r w:rsidR="00CB7320">
              <w:rPr>
                <w:color w:val="000000"/>
                <w:sz w:val="20"/>
                <w:szCs w:val="20"/>
                <w:lang w:val="en-US" w:eastAsia="fr-FR"/>
              </w:rPr>
              <w:t>m</w:t>
            </w:r>
            <w:r w:rsidRPr="00D02614">
              <w:rPr>
                <w:color w:val="000000"/>
                <w:sz w:val="20"/>
                <w:szCs w:val="20"/>
                <w:lang w:eastAsia="fr-FR"/>
              </w:rPr>
              <w:t>ail</w:t>
            </w:r>
            <w:r w:rsidRPr="00D02614">
              <w:rPr>
                <w:color w:val="000000"/>
                <w:sz w:val="20"/>
                <w:szCs w:val="20"/>
                <w:rtl/>
              </w:rPr>
              <w:t xml:space="preserve">: </w:t>
            </w:r>
            <w:r w:rsidRPr="00D02614">
              <w:rPr>
                <w:color w:val="000000"/>
                <w:sz w:val="20"/>
                <w:szCs w:val="20"/>
                <w:lang w:eastAsia="fr-FR"/>
              </w:rPr>
              <w:t>diwan@pcbs.gov.ps</w:t>
            </w:r>
          </w:p>
          <w:p w:rsidR="00CE504B" w:rsidRPr="00D02614" w:rsidRDefault="00CE504B" w:rsidP="00D02614">
            <w:pPr>
              <w:pStyle w:val="BlockText"/>
              <w:tabs>
                <w:tab w:val="clear" w:pos="8647"/>
              </w:tabs>
              <w:ind w:left="0" w:right="-2" w:hanging="142"/>
              <w:jc w:val="left"/>
              <w:rPr>
                <w:rFonts w:cs="Times New Roman"/>
                <w:b/>
                <w:bCs/>
                <w:color w:val="000000"/>
                <w:sz w:val="20"/>
                <w:rtl/>
              </w:rPr>
            </w:pPr>
            <w:r w:rsidRPr="00D02614">
              <w:rPr>
                <w:rFonts w:cs="Times New Roman"/>
                <w:color w:val="000000"/>
                <w:sz w:val="20"/>
              </w:rPr>
              <w:t>Website:  http://www.pcbs.gov.ps</w:t>
            </w:r>
            <w:r w:rsidRPr="00D02614">
              <w:rPr>
                <w:rFonts w:cs="Times New Roman"/>
                <w:b/>
                <w:bCs/>
                <w:color w:val="000000"/>
                <w:sz w:val="20"/>
              </w:rPr>
              <w:t xml:space="preserve"> </w:t>
            </w:r>
            <w:r w:rsidRPr="00D02614">
              <w:rPr>
                <w:rFonts w:cs="Times New Roman"/>
                <w:b/>
                <w:bCs/>
                <w:color w:val="000000"/>
                <w:sz w:val="20"/>
                <w:rtl/>
              </w:rPr>
              <w:t xml:space="preserve">   </w:t>
            </w:r>
          </w:p>
          <w:p w:rsidR="00CE504B" w:rsidRPr="00D02614" w:rsidRDefault="00CE504B" w:rsidP="00D02614">
            <w:pPr>
              <w:pStyle w:val="BlockText"/>
              <w:tabs>
                <w:tab w:val="clear" w:pos="8647"/>
              </w:tabs>
              <w:ind w:left="0" w:right="-2"/>
              <w:jc w:val="left"/>
              <w:rPr>
                <w:rFonts w:cs="Times New Roman"/>
                <w:b/>
                <w:bCs/>
                <w:color w:val="000000"/>
                <w:sz w:val="20"/>
              </w:rPr>
            </w:pPr>
          </w:p>
          <w:p w:rsidR="00CE504B" w:rsidRPr="00D02614" w:rsidRDefault="00CE504B" w:rsidP="00D02614">
            <w:pPr>
              <w:pStyle w:val="BlockText"/>
              <w:tabs>
                <w:tab w:val="clear" w:pos="8647"/>
              </w:tabs>
              <w:ind w:left="0" w:right="-2"/>
              <w:jc w:val="left"/>
              <w:rPr>
                <w:rFonts w:cs="Times New Roman"/>
                <w:b/>
                <w:bCs/>
                <w:color w:val="000000"/>
                <w:sz w:val="20"/>
                <w:rtl/>
              </w:rPr>
            </w:pPr>
          </w:p>
        </w:tc>
        <w:tc>
          <w:tcPr>
            <w:tcW w:w="2403" w:type="dxa"/>
            <w:shd w:val="clear" w:color="auto" w:fill="auto"/>
          </w:tcPr>
          <w:p w:rsidR="00CE504B" w:rsidRPr="00D02614" w:rsidRDefault="00CE504B" w:rsidP="00D02614">
            <w:pPr>
              <w:jc w:val="right"/>
              <w:rPr>
                <w:color w:val="000000"/>
                <w:sz w:val="20"/>
                <w:szCs w:val="20"/>
                <w:rtl/>
              </w:rPr>
            </w:pPr>
          </w:p>
        </w:tc>
        <w:tc>
          <w:tcPr>
            <w:tcW w:w="2127" w:type="dxa"/>
            <w:shd w:val="clear" w:color="auto" w:fill="auto"/>
          </w:tcPr>
          <w:p w:rsidR="00CE504B" w:rsidRPr="00D02614" w:rsidRDefault="00796EBB" w:rsidP="00D02614">
            <w:pPr>
              <w:jc w:val="center"/>
              <w:rPr>
                <w:color w:val="000000"/>
                <w:sz w:val="20"/>
                <w:szCs w:val="20"/>
                <w:rtl/>
              </w:rPr>
            </w:pPr>
            <w:r>
              <w:rPr>
                <w:rFonts w:ascii="Calibri" w:hAnsi="Calibri"/>
                <w:noProof/>
                <w:color w:val="000000"/>
                <w:sz w:val="20"/>
                <w:szCs w:val="20"/>
                <w:lang w:val="en-US" w:eastAsia="en-US"/>
              </w:rPr>
              <w:drawing>
                <wp:inline distT="0" distB="0" distL="0" distR="0">
                  <wp:extent cx="1141095" cy="1141095"/>
                  <wp:effectExtent l="19050" t="0" r="1905" b="0"/>
                  <wp:docPr id="6"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2"/>
                          <a:srcRect/>
                          <a:stretch>
                            <a:fillRect/>
                          </a:stretch>
                        </pic:blipFill>
                        <pic:spPr bwMode="auto">
                          <a:xfrm>
                            <a:off x="0" y="0"/>
                            <a:ext cx="1141095" cy="1141095"/>
                          </a:xfrm>
                          <a:prstGeom prst="rect">
                            <a:avLst/>
                          </a:prstGeom>
                          <a:noFill/>
                          <a:ln w="9525">
                            <a:noFill/>
                            <a:miter lim="800000"/>
                            <a:headEnd/>
                            <a:tailEnd/>
                          </a:ln>
                        </pic:spPr>
                      </pic:pic>
                    </a:graphicData>
                  </a:graphic>
                </wp:inline>
              </w:drawing>
            </w:r>
          </w:p>
        </w:tc>
      </w:tr>
      <w:tr w:rsidR="00CE504B" w:rsidTr="00D02614">
        <w:trPr>
          <w:trHeight w:val="1014"/>
          <w:jc w:val="center"/>
        </w:trPr>
        <w:tc>
          <w:tcPr>
            <w:tcW w:w="4542" w:type="dxa"/>
            <w:vMerge/>
            <w:shd w:val="clear" w:color="auto" w:fill="auto"/>
          </w:tcPr>
          <w:p w:rsidR="00CE504B" w:rsidRPr="00D02614" w:rsidRDefault="00CE504B" w:rsidP="00D02614">
            <w:pPr>
              <w:jc w:val="lowKashida"/>
              <w:rPr>
                <w:color w:val="000000"/>
                <w:sz w:val="20"/>
                <w:szCs w:val="20"/>
                <w:rtl/>
              </w:rPr>
            </w:pPr>
          </w:p>
        </w:tc>
        <w:tc>
          <w:tcPr>
            <w:tcW w:w="2403" w:type="dxa"/>
            <w:shd w:val="clear" w:color="auto" w:fill="auto"/>
          </w:tcPr>
          <w:p w:rsidR="00CE504B" w:rsidRPr="00D02614" w:rsidRDefault="00CE504B" w:rsidP="00D02614">
            <w:pPr>
              <w:jc w:val="right"/>
              <w:rPr>
                <w:noProof/>
                <w:color w:val="000000"/>
                <w:sz w:val="20"/>
                <w:szCs w:val="20"/>
                <w:rtl/>
              </w:rPr>
            </w:pPr>
          </w:p>
        </w:tc>
        <w:tc>
          <w:tcPr>
            <w:tcW w:w="2127" w:type="dxa"/>
            <w:shd w:val="clear" w:color="auto" w:fill="auto"/>
          </w:tcPr>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D02614" w:rsidRDefault="00CE504B" w:rsidP="00D02614">
            <w:pPr>
              <w:jc w:val="center"/>
              <w:rPr>
                <w:b/>
                <w:bCs/>
                <w:color w:val="000000"/>
                <w:sz w:val="20"/>
                <w:szCs w:val="20"/>
              </w:rPr>
            </w:pPr>
          </w:p>
          <w:p w:rsidR="00CE504B" w:rsidRPr="00FA2746" w:rsidRDefault="00CE504B" w:rsidP="004D08B0">
            <w:pPr>
              <w:jc w:val="center"/>
              <w:rPr>
                <w:noProof/>
                <w:color w:val="000000"/>
                <w:sz w:val="20"/>
                <w:szCs w:val="20"/>
                <w:rtl/>
                <w:lang w:val="en-US"/>
              </w:rPr>
            </w:pPr>
            <w:r w:rsidRPr="00D02614">
              <w:rPr>
                <w:b/>
                <w:bCs/>
                <w:color w:val="000000"/>
                <w:sz w:val="20"/>
                <w:szCs w:val="20"/>
              </w:rPr>
              <w:t>Reference ID:</w:t>
            </w:r>
            <w:r w:rsidR="00726E5A">
              <w:rPr>
                <w:b/>
                <w:bCs/>
                <w:color w:val="000000"/>
                <w:sz w:val="20"/>
                <w:szCs w:val="20"/>
                <w:lang w:val="en-US"/>
              </w:rPr>
              <w:t xml:space="preserve"> 2529</w:t>
            </w:r>
            <w:r w:rsidRPr="00D02614">
              <w:rPr>
                <w:b/>
                <w:bCs/>
                <w:color w:val="000000"/>
                <w:sz w:val="20"/>
                <w:szCs w:val="20"/>
              </w:rPr>
              <w:t xml:space="preserve"> </w:t>
            </w:r>
          </w:p>
        </w:tc>
      </w:tr>
    </w:tbl>
    <w:p w:rsidR="00216668" w:rsidRDefault="00216668" w:rsidP="00B42EC0">
      <w:pPr>
        <w:jc w:val="center"/>
        <w:rPr>
          <w:b/>
          <w:bCs/>
          <w:sz w:val="28"/>
          <w:szCs w:val="28"/>
          <w:lang w:val="en-US"/>
        </w:rPr>
      </w:pPr>
    </w:p>
    <w:p w:rsidR="008C460C" w:rsidRDefault="008C460C" w:rsidP="00B42EC0">
      <w:pPr>
        <w:jc w:val="center"/>
        <w:rPr>
          <w:b/>
          <w:bCs/>
          <w:sz w:val="28"/>
          <w:szCs w:val="28"/>
          <w:lang w:val="en-US"/>
        </w:rPr>
      </w:pPr>
    </w:p>
    <w:p w:rsidR="004D08B0" w:rsidRDefault="004D08B0" w:rsidP="00B42EC0">
      <w:pPr>
        <w:jc w:val="center"/>
        <w:rPr>
          <w:b/>
          <w:bCs/>
          <w:sz w:val="28"/>
          <w:szCs w:val="28"/>
          <w:lang w:val="en-US"/>
        </w:rPr>
      </w:pPr>
    </w:p>
    <w:p w:rsidR="00B42EC0" w:rsidRPr="00F42CFD" w:rsidRDefault="00B42EC0" w:rsidP="00F42CFD">
      <w:pPr>
        <w:jc w:val="center"/>
        <w:rPr>
          <w:b/>
          <w:bCs/>
          <w:color w:val="000000"/>
          <w:sz w:val="28"/>
          <w:szCs w:val="28"/>
        </w:rPr>
      </w:pPr>
      <w:r w:rsidRPr="00F42CFD">
        <w:rPr>
          <w:b/>
          <w:bCs/>
          <w:color w:val="000000"/>
          <w:sz w:val="28"/>
          <w:szCs w:val="28"/>
        </w:rPr>
        <w:lastRenderedPageBreak/>
        <w:t>Acknowledgments</w:t>
      </w:r>
    </w:p>
    <w:p w:rsidR="008C460C" w:rsidRPr="00F42CFD" w:rsidRDefault="008C460C" w:rsidP="00F42CFD">
      <w:pPr>
        <w:jc w:val="center"/>
        <w:rPr>
          <w:b/>
          <w:bCs/>
          <w:color w:val="000000"/>
          <w:sz w:val="28"/>
          <w:szCs w:val="28"/>
        </w:rPr>
      </w:pPr>
    </w:p>
    <w:p w:rsidR="006832E1" w:rsidRDefault="006832E1" w:rsidP="00065A92">
      <w:pPr>
        <w:jc w:val="lowKashida"/>
        <w:rPr>
          <w:lang w:val="en-US" w:eastAsia="ar-SA"/>
        </w:rPr>
      </w:pPr>
      <w:r w:rsidRPr="00284CF8">
        <w:rPr>
          <w:lang w:eastAsia="ar-SA"/>
        </w:rPr>
        <w:t xml:space="preserve">The Palestinian Central Bureau of Statistics (PCBS) extends its special thanks and gratitude to all who contributed to bringing this vital study </w:t>
      </w:r>
      <w:r>
        <w:rPr>
          <w:lang w:val="en-US" w:eastAsia="ar-SA"/>
        </w:rPr>
        <w:t>in</w:t>
      </w:r>
      <w:r w:rsidRPr="00284CF8">
        <w:rPr>
          <w:lang w:eastAsia="ar-SA"/>
        </w:rPr>
        <w:t xml:space="preserve">to </w:t>
      </w:r>
      <w:r>
        <w:rPr>
          <w:lang w:val="en-US" w:eastAsia="ar-SA"/>
        </w:rPr>
        <w:t xml:space="preserve">the </w:t>
      </w:r>
      <w:r w:rsidRPr="00284CF8">
        <w:rPr>
          <w:lang w:eastAsia="ar-SA"/>
        </w:rPr>
        <w:t>light through the implementation of its different phases: preparation, technical review and language editing.</w:t>
      </w:r>
    </w:p>
    <w:p w:rsidR="006832E1" w:rsidRDefault="006832E1" w:rsidP="006832E1">
      <w:pPr>
        <w:jc w:val="lowKashida"/>
        <w:rPr>
          <w:lang w:val="en-US" w:eastAsia="ar-SA"/>
        </w:rPr>
      </w:pPr>
      <w:r w:rsidRPr="00284CF8">
        <w:rPr>
          <w:lang w:eastAsia="ar-SA"/>
        </w:rPr>
        <w:br/>
        <w:t>This study wouldn't have been done without the cooperation of fieldworkers and respondents who gave accurate and reliable data through the implementation of PCBS different censuses and surveys. Hence, PCBS extends its special thanks to them all.</w:t>
      </w:r>
    </w:p>
    <w:p w:rsidR="002D4AF7" w:rsidRDefault="002D4AF7" w:rsidP="006832E1">
      <w:pPr>
        <w:jc w:val="lowKashida"/>
        <w:rPr>
          <w:lang w:val="en-US" w:eastAsia="ar-SA"/>
        </w:rPr>
      </w:pPr>
    </w:p>
    <w:p w:rsidR="006832E1" w:rsidRDefault="006832E1" w:rsidP="006832E1">
      <w:pPr>
        <w:jc w:val="lowKashida"/>
        <w:rPr>
          <w:lang w:val="en-US" w:eastAsia="ar-SA"/>
        </w:rPr>
      </w:pPr>
    </w:p>
    <w:p w:rsidR="00B42EC0" w:rsidRPr="00EF6733" w:rsidRDefault="00B42EC0" w:rsidP="00B42EC0">
      <w:pPr>
        <w:pStyle w:val="Header"/>
        <w:rPr>
          <w:lang w:val="en-US"/>
        </w:rPr>
      </w:pPr>
    </w:p>
    <w:p w:rsidR="00B42EC0" w:rsidRDefault="00B42EC0" w:rsidP="00B42EC0">
      <w:pPr>
        <w:pStyle w:val="Header"/>
        <w:jc w:val="both"/>
        <w:rPr>
          <w:lang w:val="en-US"/>
        </w:rPr>
      </w:pPr>
    </w:p>
    <w:p w:rsidR="00DD2777" w:rsidRDefault="00DD2777" w:rsidP="00616966">
      <w:pPr>
        <w:jc w:val="center"/>
        <w:rPr>
          <w:b/>
          <w:bCs/>
          <w:color w:val="000000"/>
          <w:sz w:val="28"/>
          <w:szCs w:val="28"/>
        </w:rPr>
      </w:pPr>
    </w:p>
    <w:p w:rsidR="00FC6304" w:rsidRPr="003C25B4" w:rsidRDefault="00DD2777" w:rsidP="00616966">
      <w:pPr>
        <w:jc w:val="center"/>
        <w:rPr>
          <w:color w:val="000000"/>
        </w:rPr>
      </w:pPr>
      <w:r>
        <w:rPr>
          <w:b/>
          <w:bCs/>
          <w:color w:val="000000"/>
          <w:sz w:val="28"/>
          <w:szCs w:val="28"/>
        </w:rPr>
        <w:br w:type="page"/>
      </w:r>
      <w:r w:rsidR="00FC6304" w:rsidRPr="003C25B4">
        <w:rPr>
          <w:b/>
          <w:bCs/>
          <w:color w:val="000000"/>
          <w:sz w:val="28"/>
          <w:szCs w:val="28"/>
        </w:rPr>
        <w:lastRenderedPageBreak/>
        <w:br w:type="page"/>
      </w:r>
      <w:r w:rsidR="00CF393D" w:rsidRPr="00A77819">
        <w:rPr>
          <w:b/>
          <w:bCs/>
          <w:color w:val="000000"/>
          <w:sz w:val="28"/>
          <w:szCs w:val="28"/>
        </w:rPr>
        <w:lastRenderedPageBreak/>
        <w:t>Work Team</w:t>
      </w:r>
    </w:p>
    <w:p w:rsidR="00FC6304" w:rsidRPr="003C25B4" w:rsidRDefault="00FC6304" w:rsidP="00FC6304">
      <w:pPr>
        <w:autoSpaceDE w:val="0"/>
        <w:autoSpaceDN w:val="0"/>
        <w:adjustRightInd w:val="0"/>
        <w:jc w:val="center"/>
        <w:rPr>
          <w:color w:val="000000"/>
        </w:rPr>
      </w:pPr>
    </w:p>
    <w:tbl>
      <w:tblPr>
        <w:tblW w:w="8789" w:type="dxa"/>
        <w:jc w:val="center"/>
        <w:tblLayout w:type="fixed"/>
        <w:tblLook w:val="0000" w:firstRow="0" w:lastRow="0" w:firstColumn="0" w:lastColumn="0" w:noHBand="0" w:noVBand="0"/>
      </w:tblPr>
      <w:tblGrid>
        <w:gridCol w:w="447"/>
        <w:gridCol w:w="2939"/>
        <w:gridCol w:w="5403"/>
      </w:tblGrid>
      <w:tr w:rsidR="00FC6304" w:rsidRPr="003C25B4" w:rsidTr="00144F6A">
        <w:trPr>
          <w:trHeight w:val="340"/>
          <w:jc w:val="center"/>
        </w:trPr>
        <w:tc>
          <w:tcPr>
            <w:tcW w:w="8789" w:type="dxa"/>
            <w:gridSpan w:val="3"/>
            <w:vAlign w:val="center"/>
          </w:tcPr>
          <w:p w:rsidR="00FC6304" w:rsidRPr="00E005C6" w:rsidRDefault="00FC6304" w:rsidP="006D734A">
            <w:pPr>
              <w:pStyle w:val="Header"/>
              <w:numPr>
                <w:ilvl w:val="0"/>
                <w:numId w:val="1"/>
              </w:numPr>
              <w:tabs>
                <w:tab w:val="clear" w:pos="4680"/>
                <w:tab w:val="clear" w:pos="9360"/>
                <w:tab w:val="center" w:pos="4320"/>
                <w:tab w:val="right" w:pos="8640"/>
              </w:tabs>
              <w:ind w:right="0"/>
              <w:rPr>
                <w:rFonts w:cs="Simplified Arabic"/>
                <w:color w:val="000000"/>
                <w:szCs w:val="24"/>
              </w:rPr>
            </w:pPr>
            <w:r w:rsidRPr="00E005C6">
              <w:rPr>
                <w:rFonts w:cs="Simplified Arabic"/>
                <w:b/>
                <w:bCs/>
                <w:color w:val="000000"/>
                <w:szCs w:val="24"/>
              </w:rPr>
              <w:t>Report Preparation</w:t>
            </w:r>
          </w:p>
          <w:p w:rsidR="004C27FA" w:rsidRPr="004C27FA" w:rsidRDefault="004C27FA" w:rsidP="004C27FA">
            <w:pPr>
              <w:ind w:left="461"/>
              <w:rPr>
                <w:lang w:val="en-US"/>
              </w:rPr>
            </w:pPr>
            <w:r w:rsidRPr="004C27FA">
              <w:t>Dr. Raed Ahmed Salha</w:t>
            </w:r>
          </w:p>
          <w:p w:rsidR="004C27FA" w:rsidRPr="004C27FA" w:rsidRDefault="004C27FA" w:rsidP="004C27FA">
            <w:pPr>
              <w:ind w:left="461"/>
            </w:pPr>
            <w:r w:rsidRPr="004C27FA">
              <w:t>Ph.D. Mohammad Osama Badawy</w:t>
            </w:r>
          </w:p>
          <w:p w:rsidR="00B04BE3" w:rsidRPr="006E5C58" w:rsidRDefault="00B04BE3" w:rsidP="006E5C58">
            <w:pPr>
              <w:pStyle w:val="Header"/>
              <w:ind w:left="461"/>
              <w:rPr>
                <w:rFonts w:cs="Simplified Arabic"/>
                <w:color w:val="000000"/>
                <w:szCs w:val="24"/>
                <w:lang w:val="en-US"/>
              </w:rPr>
            </w:pPr>
          </w:p>
        </w:tc>
      </w:tr>
      <w:tr w:rsidR="00B04BE3" w:rsidRPr="003C25B4" w:rsidTr="00144F6A">
        <w:trPr>
          <w:trHeight w:val="340"/>
          <w:jc w:val="center"/>
        </w:trPr>
        <w:tc>
          <w:tcPr>
            <w:tcW w:w="3386" w:type="dxa"/>
            <w:gridSpan w:val="2"/>
            <w:vAlign w:val="center"/>
          </w:tcPr>
          <w:p w:rsidR="00B04BE3" w:rsidRPr="00B04BE3" w:rsidRDefault="00B04BE3" w:rsidP="00B04BE3">
            <w:pPr>
              <w:pStyle w:val="Header"/>
              <w:tabs>
                <w:tab w:val="clear" w:pos="4680"/>
                <w:tab w:val="clear" w:pos="9360"/>
                <w:tab w:val="center" w:pos="4320"/>
                <w:tab w:val="right" w:pos="8640"/>
              </w:tabs>
              <w:ind w:right="340"/>
              <w:rPr>
                <w:rFonts w:cs="Simplified Arabic"/>
                <w:b/>
                <w:bCs/>
                <w:color w:val="000000"/>
                <w:szCs w:val="24"/>
                <w:lang w:val="en-US"/>
              </w:rPr>
            </w:pPr>
          </w:p>
        </w:tc>
        <w:tc>
          <w:tcPr>
            <w:tcW w:w="5403" w:type="dxa"/>
            <w:vAlign w:val="center"/>
          </w:tcPr>
          <w:p w:rsidR="00B04BE3" w:rsidRPr="00E005C6" w:rsidRDefault="00B04BE3" w:rsidP="00144F6A">
            <w:pPr>
              <w:pStyle w:val="Header"/>
              <w:rPr>
                <w:rFonts w:cs="Simplified Arabic"/>
                <w:b/>
                <w:bCs/>
                <w:color w:val="000000"/>
                <w:szCs w:val="24"/>
              </w:rPr>
            </w:pPr>
          </w:p>
        </w:tc>
      </w:tr>
      <w:tr w:rsidR="00FC6304" w:rsidRPr="003C25B4" w:rsidTr="00144F6A">
        <w:trPr>
          <w:trHeight w:val="340"/>
          <w:jc w:val="center"/>
        </w:trPr>
        <w:tc>
          <w:tcPr>
            <w:tcW w:w="3386" w:type="dxa"/>
            <w:gridSpan w:val="2"/>
            <w:vAlign w:val="center"/>
          </w:tcPr>
          <w:p w:rsidR="00FC6304" w:rsidRPr="00E005C6" w:rsidRDefault="00FC6304" w:rsidP="006D734A">
            <w:pPr>
              <w:pStyle w:val="Header"/>
              <w:numPr>
                <w:ilvl w:val="0"/>
                <w:numId w:val="1"/>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Dissemination Standards</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tl/>
              </w:rPr>
            </w:pPr>
            <w:r w:rsidRPr="00E005C6">
              <w:rPr>
                <w:rFonts w:cs="Simplified Arabic"/>
                <w:color w:val="000000"/>
                <w:szCs w:val="24"/>
              </w:rPr>
              <w:t>Hanan Janajreh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tl/>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6D734A">
            <w:pPr>
              <w:pStyle w:val="Header"/>
              <w:numPr>
                <w:ilvl w:val="0"/>
                <w:numId w:val="1"/>
              </w:numPr>
              <w:tabs>
                <w:tab w:val="clear" w:pos="4680"/>
                <w:tab w:val="clear" w:pos="9360"/>
                <w:tab w:val="center" w:pos="4320"/>
                <w:tab w:val="right" w:pos="8640"/>
              </w:tabs>
              <w:ind w:right="0"/>
              <w:rPr>
                <w:rFonts w:cs="Simplified Arabic"/>
                <w:b/>
                <w:bCs/>
                <w:color w:val="000000"/>
                <w:szCs w:val="24"/>
              </w:rPr>
            </w:pPr>
            <w:r w:rsidRPr="00E005C6">
              <w:rPr>
                <w:rFonts w:cs="Simplified Arabic"/>
                <w:b/>
                <w:bCs/>
                <w:color w:val="000000"/>
                <w:szCs w:val="24"/>
              </w:rPr>
              <w:t>Preliminary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vAlign w:val="center"/>
          </w:tcPr>
          <w:p w:rsidR="00FC6304" w:rsidRPr="00E005C6" w:rsidRDefault="00FC6304" w:rsidP="00144F6A">
            <w:pPr>
              <w:pStyle w:val="Header"/>
              <w:tabs>
                <w:tab w:val="center" w:pos="4320"/>
                <w:tab w:val="right" w:pos="8640"/>
              </w:tabs>
              <w:ind w:left="340" w:right="340"/>
              <w:rPr>
                <w:rFonts w:cs="Simplified Arabic"/>
                <w:b/>
                <w:bCs/>
                <w:color w:val="000000"/>
                <w:szCs w:val="24"/>
              </w:rPr>
            </w:pPr>
          </w:p>
        </w:tc>
        <w:tc>
          <w:tcPr>
            <w:tcW w:w="2939" w:type="dxa"/>
            <w:vAlign w:val="center"/>
          </w:tcPr>
          <w:p w:rsidR="00CB7CFF" w:rsidRDefault="00CB7CFF" w:rsidP="00144F6A">
            <w:pPr>
              <w:pStyle w:val="Header"/>
              <w:rPr>
                <w:rFonts w:cs="Simplified Arabic"/>
                <w:color w:val="000000"/>
                <w:szCs w:val="24"/>
                <w:lang w:val="en-US"/>
              </w:rPr>
            </w:pPr>
            <w:r>
              <w:rPr>
                <w:rFonts w:cs="Simplified Arabic"/>
                <w:color w:val="000000"/>
                <w:szCs w:val="24"/>
                <w:lang w:val="en-US"/>
              </w:rPr>
              <w:t>Rasha Sarrawi</w:t>
            </w:r>
            <w:bookmarkStart w:id="0" w:name="_GoBack"/>
            <w:bookmarkEnd w:id="0"/>
          </w:p>
          <w:p w:rsidR="004C27FA" w:rsidRDefault="00E720A0" w:rsidP="00144F6A">
            <w:pPr>
              <w:pStyle w:val="Header"/>
              <w:rPr>
                <w:rFonts w:cs="Simplified Arabic"/>
                <w:color w:val="000000"/>
                <w:szCs w:val="24"/>
                <w:lang w:val="en-US"/>
              </w:rPr>
            </w:pPr>
            <w:r>
              <w:rPr>
                <w:rFonts w:cs="Simplified Arabic"/>
                <w:color w:val="000000"/>
                <w:szCs w:val="24"/>
                <w:lang w:val="en-US"/>
              </w:rPr>
              <w:t>Nehaya Odeh</w:t>
            </w:r>
          </w:p>
          <w:p w:rsidR="00E720A0" w:rsidRDefault="00E720A0" w:rsidP="00144F6A">
            <w:pPr>
              <w:pStyle w:val="Header"/>
              <w:rPr>
                <w:rFonts w:cs="Simplified Arabic"/>
                <w:color w:val="000000"/>
                <w:szCs w:val="24"/>
                <w:lang w:val="en-US"/>
              </w:rPr>
            </w:pPr>
            <w:r>
              <w:rPr>
                <w:rFonts w:cs="Simplified Arabic"/>
                <w:color w:val="000000"/>
                <w:szCs w:val="24"/>
                <w:lang w:val="en-US"/>
              </w:rPr>
              <w:t xml:space="preserve">Ruba </w:t>
            </w:r>
            <w:r w:rsidR="00AC5603">
              <w:rPr>
                <w:rFonts w:cs="Simplified Arabic"/>
                <w:color w:val="000000"/>
                <w:szCs w:val="24"/>
                <w:lang w:val="en-US"/>
              </w:rPr>
              <w:t>Qubbaj</w:t>
            </w:r>
          </w:p>
          <w:p w:rsidR="00903E3F" w:rsidRDefault="00903E3F" w:rsidP="00144F6A">
            <w:pPr>
              <w:pStyle w:val="Header"/>
              <w:rPr>
                <w:rFonts w:cs="Simplified Arabic"/>
                <w:color w:val="000000"/>
                <w:szCs w:val="24"/>
                <w:lang w:val="en-US"/>
              </w:rPr>
            </w:pPr>
            <w:r>
              <w:rPr>
                <w:rFonts w:cs="Simplified Arabic"/>
                <w:color w:val="000000"/>
                <w:szCs w:val="24"/>
                <w:lang w:val="en-US"/>
              </w:rPr>
              <w:t>Aya Amro</w:t>
            </w:r>
          </w:p>
          <w:p w:rsidR="00903E3F" w:rsidRDefault="00903E3F" w:rsidP="00144F6A">
            <w:pPr>
              <w:pStyle w:val="Header"/>
              <w:rPr>
                <w:rFonts w:cs="Simplified Arabic"/>
                <w:color w:val="000000"/>
                <w:szCs w:val="24"/>
                <w:lang w:val="en-US"/>
              </w:rPr>
            </w:pPr>
            <w:r>
              <w:rPr>
                <w:rFonts w:cs="Simplified Arabic"/>
                <w:color w:val="000000"/>
                <w:szCs w:val="24"/>
                <w:lang w:val="en-US"/>
              </w:rPr>
              <w:t>Rawya Al</w:t>
            </w:r>
            <w:r w:rsidR="00CA7834">
              <w:rPr>
                <w:rFonts w:cs="Simplified Arabic"/>
                <w:color w:val="000000"/>
                <w:szCs w:val="24"/>
                <w:lang w:val="en-US"/>
              </w:rPr>
              <w:t>awneh</w:t>
            </w:r>
            <w:r>
              <w:rPr>
                <w:rFonts w:cs="Simplified Arabic"/>
                <w:color w:val="000000"/>
                <w:szCs w:val="24"/>
                <w:lang w:val="en-US"/>
              </w:rPr>
              <w:t xml:space="preserve"> </w:t>
            </w:r>
          </w:p>
          <w:p w:rsidR="006E5C58" w:rsidRDefault="006E5C58" w:rsidP="006E5C58">
            <w:pPr>
              <w:pStyle w:val="Header"/>
              <w:rPr>
                <w:rFonts w:cs="Simplified Arabic"/>
                <w:color w:val="000000"/>
                <w:szCs w:val="24"/>
                <w:lang w:val="en-US" w:bidi="ar-JO"/>
              </w:rPr>
            </w:pPr>
            <w:r>
              <w:rPr>
                <w:rFonts w:cs="Simplified Arabic"/>
                <w:color w:val="000000"/>
                <w:szCs w:val="24"/>
                <w:lang w:val="en-US" w:bidi="ar-JO"/>
              </w:rPr>
              <w:t>Mohammad Duraidi</w:t>
            </w:r>
          </w:p>
          <w:p w:rsidR="00FC6304" w:rsidRPr="00E005C6" w:rsidRDefault="00FC6304" w:rsidP="00144F6A">
            <w:pPr>
              <w:pStyle w:val="Header"/>
              <w:rPr>
                <w:rFonts w:cs="Simplified Arabic"/>
                <w:color w:val="000000"/>
                <w:szCs w:val="24"/>
              </w:rPr>
            </w:pPr>
            <w:r w:rsidRPr="00E005C6">
              <w:rPr>
                <w:rFonts w:cs="Simplified Arabic"/>
                <w:color w:val="000000"/>
                <w:szCs w:val="24"/>
              </w:rPr>
              <w:t>Omayma AL-Ahmad</w:t>
            </w:r>
          </w:p>
          <w:p w:rsidR="00FC6304" w:rsidRPr="00E005C6" w:rsidRDefault="00FC6304" w:rsidP="00144F6A">
            <w:pPr>
              <w:pStyle w:val="Header"/>
              <w:rPr>
                <w:rFonts w:cs="Simplified Arabic"/>
                <w:color w:val="000000"/>
                <w:szCs w:val="24"/>
              </w:rPr>
            </w:pPr>
            <w:r w:rsidRPr="00E005C6">
              <w:rPr>
                <w:rFonts w:cs="Simplified Arabic"/>
                <w:color w:val="000000"/>
                <w:szCs w:val="24"/>
              </w:rPr>
              <w:t>Rania Abu Ghaboush</w:t>
            </w:r>
          </w:p>
          <w:p w:rsidR="00FC6304" w:rsidRPr="00E005C6" w:rsidRDefault="00FC6304" w:rsidP="00144F6A">
            <w:pPr>
              <w:pStyle w:val="Header"/>
              <w:rPr>
                <w:rFonts w:cs="Simplified Arabic"/>
                <w:color w:val="000000"/>
                <w:szCs w:val="24"/>
              </w:rPr>
            </w:pPr>
            <w:r w:rsidRPr="00E005C6">
              <w:rPr>
                <w:rFonts w:cs="Simplified Arabic"/>
                <w:color w:val="000000"/>
                <w:szCs w:val="24"/>
              </w:rPr>
              <w:t>Maher Sbieh</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vAlign w:val="center"/>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vAlign w:val="center"/>
          </w:tcPr>
          <w:p w:rsidR="00FC6304" w:rsidRPr="00E005C6" w:rsidRDefault="00FC6304" w:rsidP="006D734A">
            <w:pPr>
              <w:pStyle w:val="Header"/>
              <w:numPr>
                <w:ilvl w:val="0"/>
                <w:numId w:val="1"/>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Final Review</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E005C6" w:rsidRDefault="00FC6304" w:rsidP="00144F6A">
            <w:pPr>
              <w:pStyle w:val="Header"/>
              <w:rPr>
                <w:rFonts w:cs="Simplified Arabic"/>
                <w:color w:val="000000"/>
                <w:szCs w:val="24"/>
              </w:rPr>
            </w:pPr>
            <w:r w:rsidRPr="00E005C6">
              <w:rPr>
                <w:rFonts w:cs="Simplified Arabic"/>
                <w:color w:val="000000"/>
                <w:szCs w:val="24"/>
              </w:rPr>
              <w:t>Inaya Zidan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37CA6" w:rsidTr="00144F6A">
        <w:trPr>
          <w:trHeight w:val="340"/>
          <w:jc w:val="center"/>
        </w:trPr>
        <w:tc>
          <w:tcPr>
            <w:tcW w:w="447" w:type="dxa"/>
          </w:tcPr>
          <w:p w:rsidR="00FC6304" w:rsidRPr="00E005C6" w:rsidRDefault="00FC6304" w:rsidP="00144F6A">
            <w:pPr>
              <w:pStyle w:val="Header"/>
              <w:rPr>
                <w:rFonts w:cs="Simplified Arabic"/>
                <w:b/>
                <w:bCs/>
                <w:color w:val="000000"/>
                <w:sz w:val="18"/>
                <w:szCs w:val="18"/>
              </w:rPr>
            </w:pPr>
          </w:p>
        </w:tc>
        <w:tc>
          <w:tcPr>
            <w:tcW w:w="2939" w:type="dxa"/>
            <w:vAlign w:val="center"/>
          </w:tcPr>
          <w:p w:rsidR="00FC6304" w:rsidRPr="00E005C6" w:rsidRDefault="00FC6304" w:rsidP="00144F6A">
            <w:pPr>
              <w:pStyle w:val="Header"/>
              <w:rPr>
                <w:rFonts w:cs="Simplified Arabic"/>
                <w:b/>
                <w:bCs/>
                <w:color w:val="000000"/>
                <w:sz w:val="18"/>
                <w:szCs w:val="18"/>
              </w:rPr>
            </w:pPr>
          </w:p>
        </w:tc>
        <w:tc>
          <w:tcPr>
            <w:tcW w:w="5403" w:type="dxa"/>
            <w:vAlign w:val="center"/>
          </w:tcPr>
          <w:p w:rsidR="00FC6304" w:rsidRPr="00E005C6" w:rsidRDefault="00FC6304" w:rsidP="00144F6A">
            <w:pPr>
              <w:pStyle w:val="Header"/>
              <w:rPr>
                <w:rFonts w:cs="Simplified Arabic"/>
                <w:b/>
                <w:bCs/>
                <w:color w:val="000000"/>
                <w:sz w:val="18"/>
                <w:szCs w:val="18"/>
              </w:rPr>
            </w:pPr>
          </w:p>
        </w:tc>
      </w:tr>
      <w:tr w:rsidR="00FC6304" w:rsidRPr="003C25B4" w:rsidTr="00144F6A">
        <w:trPr>
          <w:trHeight w:val="340"/>
          <w:jc w:val="center"/>
        </w:trPr>
        <w:tc>
          <w:tcPr>
            <w:tcW w:w="3386" w:type="dxa"/>
            <w:gridSpan w:val="2"/>
          </w:tcPr>
          <w:p w:rsidR="00FC6304" w:rsidRPr="00E005C6" w:rsidRDefault="00FC6304" w:rsidP="006D734A">
            <w:pPr>
              <w:pStyle w:val="Header"/>
              <w:numPr>
                <w:ilvl w:val="0"/>
                <w:numId w:val="1"/>
              </w:numPr>
              <w:tabs>
                <w:tab w:val="clear" w:pos="4680"/>
                <w:tab w:val="clear" w:pos="9360"/>
                <w:tab w:val="center" w:pos="4320"/>
                <w:tab w:val="right" w:pos="8640"/>
              </w:tabs>
              <w:ind w:right="0"/>
              <w:rPr>
                <w:rFonts w:cs="Simplified Arabic"/>
                <w:b/>
                <w:bCs/>
                <w:color w:val="000000"/>
                <w:szCs w:val="24"/>
                <w:rtl/>
              </w:rPr>
            </w:pPr>
            <w:r w:rsidRPr="00E005C6">
              <w:rPr>
                <w:rFonts w:cs="Simplified Arabic"/>
                <w:b/>
                <w:bCs/>
                <w:color w:val="000000"/>
                <w:szCs w:val="24"/>
              </w:rPr>
              <w:t>Overall Supervision</w:t>
            </w:r>
          </w:p>
        </w:tc>
        <w:tc>
          <w:tcPr>
            <w:tcW w:w="5403" w:type="dxa"/>
            <w:vAlign w:val="center"/>
          </w:tcPr>
          <w:p w:rsidR="00FC6304" w:rsidRPr="00E005C6" w:rsidRDefault="00FC6304" w:rsidP="00144F6A">
            <w:pPr>
              <w:pStyle w:val="Header"/>
              <w:rPr>
                <w:rFonts w:cs="Simplified Arabic"/>
                <w:b/>
                <w:bCs/>
                <w:color w:val="000000"/>
                <w:szCs w:val="24"/>
              </w:rPr>
            </w:pPr>
          </w:p>
        </w:tc>
      </w:tr>
      <w:tr w:rsidR="00FC6304" w:rsidRPr="003C25B4" w:rsidTr="00144F6A">
        <w:trPr>
          <w:trHeight w:val="340"/>
          <w:jc w:val="center"/>
        </w:trPr>
        <w:tc>
          <w:tcPr>
            <w:tcW w:w="447" w:type="dxa"/>
          </w:tcPr>
          <w:p w:rsidR="00FC6304" w:rsidRPr="00E005C6" w:rsidRDefault="00FC6304" w:rsidP="00144F6A">
            <w:pPr>
              <w:pStyle w:val="Header"/>
              <w:rPr>
                <w:rFonts w:cs="Simplified Arabic"/>
                <w:b/>
                <w:bCs/>
                <w:color w:val="000000"/>
                <w:szCs w:val="24"/>
              </w:rPr>
            </w:pPr>
          </w:p>
        </w:tc>
        <w:tc>
          <w:tcPr>
            <w:tcW w:w="2939" w:type="dxa"/>
            <w:vAlign w:val="center"/>
          </w:tcPr>
          <w:p w:rsidR="00FC6304" w:rsidRPr="00AE7263" w:rsidRDefault="00BA5A85" w:rsidP="00BA5A85">
            <w:pPr>
              <w:pStyle w:val="Header"/>
              <w:rPr>
                <w:rFonts w:cs="Simplified Arabic"/>
                <w:color w:val="000000"/>
                <w:szCs w:val="24"/>
                <w:lang w:val="en-US"/>
              </w:rPr>
            </w:pPr>
            <w:r>
              <w:rPr>
                <w:rFonts w:cs="Simplified Arabic"/>
                <w:color w:val="000000"/>
                <w:szCs w:val="24"/>
                <w:lang w:val="en-US"/>
              </w:rPr>
              <w:t xml:space="preserve">Dr. </w:t>
            </w:r>
            <w:r w:rsidR="00FC6304" w:rsidRPr="00E005C6">
              <w:rPr>
                <w:rFonts w:cs="Simplified Arabic"/>
                <w:color w:val="000000"/>
                <w:szCs w:val="24"/>
              </w:rPr>
              <w:t>Ola Awad</w:t>
            </w:r>
          </w:p>
        </w:tc>
        <w:tc>
          <w:tcPr>
            <w:tcW w:w="5403" w:type="dxa"/>
            <w:vAlign w:val="center"/>
          </w:tcPr>
          <w:p w:rsidR="00FC6304" w:rsidRPr="00E005C6" w:rsidRDefault="00FC6304" w:rsidP="00A50CA2">
            <w:pPr>
              <w:pStyle w:val="Header"/>
              <w:rPr>
                <w:rFonts w:cs="Simplified Arabic"/>
                <w:color w:val="000000"/>
                <w:szCs w:val="24"/>
              </w:rPr>
            </w:pPr>
            <w:r w:rsidRPr="00E005C6">
              <w:rPr>
                <w:rFonts w:cs="Simplified Arabic"/>
                <w:color w:val="000000"/>
                <w:szCs w:val="24"/>
              </w:rPr>
              <w:t>President of  PCBS</w:t>
            </w:r>
          </w:p>
        </w:tc>
      </w:tr>
    </w:tbl>
    <w:p w:rsidR="00FC6304" w:rsidRPr="003C25B4" w:rsidRDefault="00FC6304" w:rsidP="00FC6304">
      <w:pPr>
        <w:pStyle w:val="Title"/>
        <w:rPr>
          <w:rFonts w:cs="Simplified Arabic"/>
          <w:color w:val="000000"/>
          <w:sz w:val="28"/>
          <w:szCs w:val="28"/>
          <w:rtl/>
        </w:rPr>
      </w:pPr>
    </w:p>
    <w:p w:rsidR="00FC6304" w:rsidRPr="003C25B4" w:rsidRDefault="00FC6304" w:rsidP="00FC6304">
      <w:pPr>
        <w:pStyle w:val="BlockText"/>
        <w:ind w:left="0" w:right="567"/>
        <w:jc w:val="center"/>
        <w:rPr>
          <w:b/>
          <w:bCs/>
          <w:color w:val="000000"/>
          <w:sz w:val="28"/>
          <w:szCs w:val="28"/>
          <w:lang w:eastAsia="en-US"/>
        </w:rPr>
      </w:pPr>
      <w:r w:rsidRPr="003C25B4">
        <w:rPr>
          <w:b/>
          <w:bCs/>
          <w:color w:val="000000"/>
          <w:sz w:val="28"/>
          <w:szCs w:val="28"/>
          <w:lang w:eastAsia="en-US"/>
        </w:rPr>
        <w:t xml:space="preserve"> </w:t>
      </w: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Default="00FC6304" w:rsidP="00FC6304">
      <w:pPr>
        <w:autoSpaceDE w:val="0"/>
        <w:autoSpaceDN w:val="0"/>
        <w:adjustRightInd w:val="0"/>
        <w:jc w:val="center"/>
        <w:rPr>
          <w:b/>
          <w:bCs/>
          <w:color w:val="000000"/>
          <w:sz w:val="28"/>
          <w:szCs w:val="28"/>
        </w:rPr>
      </w:pPr>
    </w:p>
    <w:p w:rsidR="00FC6304" w:rsidRPr="005D30E8" w:rsidRDefault="00FC6304" w:rsidP="00FC6304">
      <w:pPr>
        <w:jc w:val="center"/>
        <w:rPr>
          <w:b/>
          <w:bCs/>
          <w:color w:val="000000"/>
          <w:sz w:val="28"/>
          <w:szCs w:val="28"/>
        </w:rPr>
      </w:pPr>
      <w:r w:rsidRPr="003C25B4">
        <w:rPr>
          <w:b/>
          <w:bCs/>
          <w:color w:val="000000"/>
          <w:sz w:val="28"/>
          <w:szCs w:val="28"/>
        </w:rPr>
        <w:br w:type="page"/>
      </w:r>
      <w:r w:rsidRPr="005D30E8">
        <w:rPr>
          <w:b/>
          <w:bCs/>
          <w:color w:val="000000"/>
          <w:sz w:val="28"/>
          <w:szCs w:val="28"/>
        </w:rPr>
        <w:lastRenderedPageBreak/>
        <w:t>Notice For Users</w:t>
      </w:r>
    </w:p>
    <w:p w:rsidR="00FC6304" w:rsidRPr="005D30E8" w:rsidRDefault="00FC6304" w:rsidP="00FC6304">
      <w:pPr>
        <w:jc w:val="center"/>
        <w:rPr>
          <w:b/>
          <w:bCs/>
          <w:color w:val="000000"/>
        </w:rPr>
      </w:pPr>
    </w:p>
    <w:p w:rsidR="00036E35" w:rsidRPr="00036E35" w:rsidRDefault="00036E35" w:rsidP="00036E35">
      <w:pPr>
        <w:pStyle w:val="Heading3"/>
        <w:spacing w:before="0" w:after="0"/>
        <w:ind w:left="284"/>
        <w:jc w:val="both"/>
        <w:rPr>
          <w:rFonts w:ascii="Times New Roman" w:hAnsi="Times New Roman"/>
          <w:b w:val="0"/>
          <w:bCs w:val="0"/>
          <w:sz w:val="24"/>
          <w:szCs w:val="24"/>
          <w:lang w:eastAsia="ar-SA"/>
        </w:rPr>
      </w:pPr>
    </w:p>
    <w:p w:rsidR="00787611" w:rsidRPr="005D30E8" w:rsidRDefault="00787611" w:rsidP="006D734A">
      <w:pPr>
        <w:pStyle w:val="Heading3"/>
        <w:numPr>
          <w:ilvl w:val="0"/>
          <w:numId w:val="2"/>
        </w:numPr>
        <w:autoSpaceDE w:val="0"/>
        <w:autoSpaceDN w:val="0"/>
        <w:adjustRightInd w:val="0"/>
        <w:spacing w:before="0" w:after="0"/>
        <w:ind w:left="284" w:hanging="284"/>
        <w:jc w:val="both"/>
        <w:rPr>
          <w:rFonts w:ascii="Times New Roman" w:hAnsi="Times New Roman"/>
          <w:b w:val="0"/>
          <w:bCs w:val="0"/>
          <w:sz w:val="24"/>
          <w:szCs w:val="24"/>
          <w:lang w:val="en-US" w:eastAsia="ar-SA"/>
        </w:rPr>
      </w:pPr>
      <w:r w:rsidRPr="005D30E8">
        <w:rPr>
          <w:rFonts w:ascii="Times New Roman" w:hAnsi="Times New Roman"/>
          <w:b w:val="0"/>
          <w:bCs w:val="0"/>
          <w:sz w:val="24"/>
          <w:szCs w:val="24"/>
          <w:lang w:eastAsia="ar-SA"/>
        </w:rPr>
        <w:t xml:space="preserve">The </w:t>
      </w:r>
      <w:r w:rsidR="0045357F" w:rsidRPr="005D30E8">
        <w:rPr>
          <w:rFonts w:ascii="Times New Roman" w:hAnsi="Times New Roman"/>
          <w:b w:val="0"/>
          <w:bCs w:val="0"/>
          <w:sz w:val="24"/>
          <w:szCs w:val="24"/>
          <w:lang w:val="en-US" w:eastAsia="ar-SA"/>
        </w:rPr>
        <w:t>r</w:t>
      </w:r>
      <w:r w:rsidRPr="005D30E8">
        <w:rPr>
          <w:rFonts w:ascii="Times New Roman" w:hAnsi="Times New Roman"/>
          <w:b w:val="0"/>
          <w:bCs w:val="0"/>
          <w:sz w:val="24"/>
          <w:szCs w:val="24"/>
          <w:lang w:eastAsia="ar-SA"/>
        </w:rPr>
        <w:t>esearcher</w:t>
      </w:r>
      <w:r w:rsidR="00065A92">
        <w:rPr>
          <w:rFonts w:ascii="Times New Roman" w:hAnsi="Times New Roman"/>
          <w:b w:val="0"/>
          <w:bCs w:val="0"/>
          <w:sz w:val="24"/>
          <w:szCs w:val="24"/>
          <w:lang w:val="en-US" w:eastAsia="ar-SA"/>
        </w:rPr>
        <w:t>s</w:t>
      </w:r>
      <w:r w:rsidRPr="005D30E8">
        <w:rPr>
          <w:rFonts w:ascii="Times New Roman" w:hAnsi="Times New Roman"/>
          <w:b w:val="0"/>
          <w:bCs w:val="0"/>
          <w:sz w:val="24"/>
          <w:szCs w:val="24"/>
          <w:lang w:eastAsia="ar-SA"/>
        </w:rPr>
        <w:t xml:space="preserve"> </w:t>
      </w:r>
      <w:r w:rsidR="00CE1365" w:rsidRPr="00CE1365">
        <w:rPr>
          <w:rFonts w:ascii="Times New Roman" w:hAnsi="Times New Roman"/>
          <w:b w:val="0"/>
          <w:bCs w:val="0"/>
          <w:sz w:val="24"/>
          <w:szCs w:val="24"/>
          <w:lang w:eastAsia="ar-SA"/>
        </w:rPr>
        <w:t xml:space="preserve">prepared </w:t>
      </w:r>
      <w:r w:rsidRPr="005D30E8">
        <w:rPr>
          <w:rFonts w:ascii="Times New Roman" w:hAnsi="Times New Roman"/>
          <w:b w:val="0"/>
          <w:bCs w:val="0"/>
          <w:sz w:val="24"/>
          <w:szCs w:val="24"/>
          <w:lang w:eastAsia="ar-SA"/>
        </w:rPr>
        <w:t xml:space="preserve">this study </w:t>
      </w:r>
      <w:r w:rsidR="005847F9">
        <w:rPr>
          <w:rFonts w:ascii="Times New Roman" w:hAnsi="Times New Roman"/>
          <w:b w:val="0"/>
          <w:bCs w:val="0"/>
          <w:sz w:val="24"/>
          <w:szCs w:val="24"/>
          <w:lang w:val="en-US" w:eastAsia="ar-SA"/>
        </w:rPr>
        <w:t>based</w:t>
      </w:r>
      <w:r w:rsidRPr="005D30E8">
        <w:rPr>
          <w:rFonts w:ascii="Times New Roman" w:hAnsi="Times New Roman"/>
          <w:b w:val="0"/>
          <w:bCs w:val="0"/>
          <w:sz w:val="24"/>
          <w:szCs w:val="24"/>
          <w:lang w:eastAsia="ar-SA"/>
        </w:rPr>
        <w:t xml:space="preserve"> on data derived from PCBS</w:t>
      </w:r>
      <w:r w:rsidRPr="005D30E8">
        <w:rPr>
          <w:rFonts w:ascii="Times New Roman" w:hAnsi="Times New Roman"/>
          <w:b w:val="0"/>
          <w:bCs w:val="0"/>
          <w:sz w:val="24"/>
          <w:szCs w:val="24"/>
          <w:lang w:val="en-US" w:eastAsia="ar-SA"/>
        </w:rPr>
        <w:t xml:space="preserve"> </w:t>
      </w:r>
      <w:r w:rsidRPr="005D30E8">
        <w:rPr>
          <w:rFonts w:ascii="Times New Roman" w:hAnsi="Times New Roman"/>
          <w:b w:val="0"/>
          <w:bCs w:val="0"/>
          <w:sz w:val="24"/>
          <w:szCs w:val="24"/>
          <w:lang w:eastAsia="ar-SA"/>
        </w:rPr>
        <w:t xml:space="preserve">databases and other resources.  </w:t>
      </w:r>
    </w:p>
    <w:p w:rsidR="00B847D7" w:rsidRPr="005D30E8" w:rsidRDefault="00B847D7" w:rsidP="00B847D7">
      <w:pPr>
        <w:rPr>
          <w:lang w:val="en-US" w:eastAsia="ar-SA"/>
        </w:rPr>
      </w:pPr>
    </w:p>
    <w:p w:rsidR="00B847D7" w:rsidRDefault="00B847D7" w:rsidP="006D734A">
      <w:pPr>
        <w:pStyle w:val="Heading3"/>
        <w:numPr>
          <w:ilvl w:val="0"/>
          <w:numId w:val="2"/>
        </w:numPr>
        <w:autoSpaceDE w:val="0"/>
        <w:autoSpaceDN w:val="0"/>
        <w:adjustRightInd w:val="0"/>
        <w:spacing w:before="0" w:after="0"/>
        <w:ind w:left="284" w:hanging="284"/>
        <w:jc w:val="both"/>
        <w:rPr>
          <w:rFonts w:ascii="Times New Roman" w:hAnsi="Times New Roman"/>
          <w:b w:val="0"/>
          <w:bCs w:val="0"/>
          <w:sz w:val="24"/>
          <w:szCs w:val="24"/>
          <w:lang w:eastAsia="ar-SA"/>
        </w:rPr>
      </w:pPr>
      <w:r w:rsidRPr="005D30E8">
        <w:rPr>
          <w:rFonts w:ascii="Times New Roman" w:hAnsi="Times New Roman"/>
          <w:b w:val="0"/>
          <w:bCs w:val="0"/>
          <w:sz w:val="24"/>
          <w:szCs w:val="24"/>
          <w:lang w:eastAsia="ar-SA"/>
        </w:rPr>
        <w:t>In some tables</w:t>
      </w:r>
      <w:r w:rsidR="005847F9">
        <w:rPr>
          <w:rFonts w:ascii="Times New Roman" w:hAnsi="Times New Roman"/>
          <w:b w:val="0"/>
          <w:bCs w:val="0"/>
          <w:sz w:val="24"/>
          <w:szCs w:val="24"/>
          <w:lang w:val="en-US" w:eastAsia="ar-SA"/>
        </w:rPr>
        <w:t>,</w:t>
      </w:r>
      <w:r w:rsidR="000D1067" w:rsidRPr="005D30E8">
        <w:rPr>
          <w:rFonts w:ascii="Times New Roman" w:hAnsi="Times New Roman"/>
          <w:b w:val="0"/>
          <w:bCs w:val="0"/>
          <w:sz w:val="24"/>
          <w:szCs w:val="24"/>
          <w:lang w:eastAsia="ar-SA"/>
        </w:rPr>
        <w:t xml:space="preserve"> </w:t>
      </w:r>
      <w:r w:rsidRPr="005D30E8">
        <w:rPr>
          <w:rFonts w:ascii="Times New Roman" w:hAnsi="Times New Roman"/>
          <w:b w:val="0"/>
          <w:bCs w:val="0"/>
          <w:sz w:val="24"/>
          <w:szCs w:val="24"/>
          <w:lang w:eastAsia="ar-SA"/>
        </w:rPr>
        <w:t>the total of percentages might not add up to 100% due to rounding.</w:t>
      </w:r>
    </w:p>
    <w:p w:rsidR="001D1AA6" w:rsidRPr="001D1AA6" w:rsidRDefault="001D1AA6" w:rsidP="001D1AA6">
      <w:pPr>
        <w:rPr>
          <w:lang w:eastAsia="ar-SA"/>
        </w:rPr>
      </w:pPr>
    </w:p>
    <w:p w:rsidR="001D1AA6" w:rsidRPr="001D1AA6" w:rsidRDefault="001D1AA6" w:rsidP="001D1AA6">
      <w:pPr>
        <w:pStyle w:val="Heading3"/>
        <w:numPr>
          <w:ilvl w:val="0"/>
          <w:numId w:val="2"/>
        </w:numPr>
        <w:autoSpaceDE w:val="0"/>
        <w:autoSpaceDN w:val="0"/>
        <w:adjustRightInd w:val="0"/>
        <w:spacing w:before="0" w:after="0"/>
        <w:ind w:left="284" w:hanging="284"/>
        <w:jc w:val="both"/>
        <w:rPr>
          <w:rFonts w:ascii="Times New Roman" w:hAnsi="Times New Roman"/>
          <w:b w:val="0"/>
          <w:bCs w:val="0"/>
          <w:sz w:val="24"/>
          <w:szCs w:val="24"/>
          <w:lang w:eastAsia="ar-SA"/>
        </w:rPr>
      </w:pPr>
      <w:r w:rsidRPr="001D1AA6">
        <w:rPr>
          <w:rFonts w:ascii="Times New Roman" w:hAnsi="Times New Roman"/>
          <w:b w:val="0"/>
          <w:bCs w:val="0"/>
          <w:sz w:val="24"/>
          <w:szCs w:val="24"/>
          <w:lang w:eastAsia="ar-SA"/>
        </w:rPr>
        <w:t>The ideas presented in this study do not necessarily express PCBS official position.</w:t>
      </w:r>
    </w:p>
    <w:p w:rsidR="001D1AA6" w:rsidRPr="001D1AA6" w:rsidRDefault="001D1AA6" w:rsidP="001D1AA6">
      <w:pPr>
        <w:rPr>
          <w:lang w:val="en-US" w:eastAsia="ar-SA"/>
        </w:rPr>
      </w:pPr>
    </w:p>
    <w:p w:rsidR="00B847D7" w:rsidRPr="00B847D7" w:rsidRDefault="00B847D7" w:rsidP="00B847D7">
      <w:pPr>
        <w:rPr>
          <w:lang w:val="en-US" w:eastAsia="ar-SA"/>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Default="00FC6304" w:rsidP="00FC6304">
      <w:pPr>
        <w:jc w:val="center"/>
        <w:rPr>
          <w:b/>
          <w:bCs/>
          <w:color w:val="000000"/>
          <w:sz w:val="28"/>
          <w:szCs w:val="28"/>
        </w:rPr>
      </w:pPr>
    </w:p>
    <w:p w:rsidR="00FC6304" w:rsidRPr="0035585B" w:rsidRDefault="00FC6304" w:rsidP="00FC6304">
      <w:pPr>
        <w:jc w:val="center"/>
        <w:rPr>
          <w:b/>
          <w:bCs/>
          <w:color w:val="000000"/>
          <w:sz w:val="28"/>
          <w:szCs w:val="28"/>
          <w:rtl/>
          <w:lang w:val="en-US"/>
        </w:rPr>
      </w:pPr>
    </w:p>
    <w:p w:rsidR="00FC6304" w:rsidRDefault="00FC6304" w:rsidP="003351EB">
      <w:pPr>
        <w:jc w:val="center"/>
        <w:rPr>
          <w:b/>
          <w:bCs/>
          <w:sz w:val="28"/>
          <w:szCs w:val="28"/>
        </w:rPr>
      </w:pPr>
      <w:r>
        <w:rPr>
          <w:b/>
          <w:bCs/>
          <w:color w:val="000000"/>
          <w:sz w:val="28"/>
          <w:szCs w:val="28"/>
        </w:rPr>
        <w:br w:type="page"/>
      </w:r>
      <w:r w:rsidRPr="007979F6">
        <w:rPr>
          <w:b/>
          <w:bCs/>
          <w:sz w:val="28"/>
          <w:szCs w:val="28"/>
        </w:rPr>
        <w:lastRenderedPageBreak/>
        <w:t>Introduction</w:t>
      </w:r>
    </w:p>
    <w:p w:rsidR="00FC6304" w:rsidRDefault="00FC6304" w:rsidP="00FC6304">
      <w:pPr>
        <w:ind w:left="-2"/>
        <w:jc w:val="center"/>
        <w:rPr>
          <w:b/>
          <w:bCs/>
          <w:sz w:val="28"/>
          <w:szCs w:val="28"/>
        </w:rPr>
      </w:pPr>
    </w:p>
    <w:p w:rsidR="00EF6733" w:rsidRDefault="00EF6733" w:rsidP="00313FF7">
      <w:pPr>
        <w:jc w:val="both"/>
        <w:rPr>
          <w:rFonts w:cs="Simplified Arabic"/>
          <w:lang w:val="en-US"/>
        </w:rPr>
      </w:pPr>
      <w:r w:rsidRPr="00E97DD8">
        <w:rPr>
          <w:rFonts w:cs="Simplified Arabic"/>
        </w:rPr>
        <w:t>The Population, Housing and Establishments Census 2017 is the cornerstone of the efforts toward</w:t>
      </w:r>
      <w:r>
        <w:rPr>
          <w:rFonts w:cs="Simplified Arabic"/>
        </w:rPr>
        <w:t>s</w:t>
      </w:r>
      <w:r w:rsidRPr="00E97DD8">
        <w:rPr>
          <w:rFonts w:cs="Simplified Arabic"/>
        </w:rPr>
        <w:t xml:space="preserve"> developing a reliable, up-to-date and comprehensive database.  PCBS has conducted several important censuses and surveys such as: </w:t>
      </w:r>
      <w:r w:rsidR="00C25921">
        <w:rPr>
          <w:rFonts w:cs="Simplified Arabic"/>
          <w:lang w:val="en-US"/>
        </w:rPr>
        <w:t>T</w:t>
      </w:r>
      <w:r w:rsidR="00C25921" w:rsidRPr="00E97DD8">
        <w:rPr>
          <w:rFonts w:cs="Simplified Arabic"/>
        </w:rPr>
        <w:t xml:space="preserve">he </w:t>
      </w:r>
      <w:r w:rsidRPr="00E97DD8">
        <w:rPr>
          <w:rFonts w:cs="Simplified Arabic"/>
        </w:rPr>
        <w:t>Population, Housing and Establishments Census</w:t>
      </w:r>
      <w:r>
        <w:rPr>
          <w:rFonts w:cs="Simplified Arabic"/>
          <w:lang w:val="en-US"/>
        </w:rPr>
        <w:t>es</w:t>
      </w:r>
      <w:r w:rsidRPr="00E97DD8">
        <w:rPr>
          <w:rFonts w:cs="Simplified Arabic"/>
        </w:rPr>
        <w:t xml:space="preserve"> 2007 and 2017</w:t>
      </w:r>
      <w:r>
        <w:rPr>
          <w:rFonts w:cs="Simplified Arabic"/>
        </w:rPr>
        <w:t xml:space="preserve">; hence, this </w:t>
      </w:r>
      <w:r w:rsidR="00313FF7">
        <w:rPr>
          <w:rFonts w:cs="Simplified Arabic"/>
          <w:lang w:val="en-US"/>
        </w:rPr>
        <w:t>Study</w:t>
      </w:r>
      <w:r w:rsidRPr="004C45F8">
        <w:rPr>
          <w:rFonts w:cs="Simplified Arabic"/>
        </w:rPr>
        <w:t xml:space="preserve"> </w:t>
      </w:r>
      <w:r>
        <w:rPr>
          <w:rFonts w:cs="Simplified Arabic"/>
        </w:rPr>
        <w:t xml:space="preserve">is </w:t>
      </w:r>
      <w:r w:rsidRPr="004C45F8">
        <w:rPr>
          <w:rFonts w:cs="Simplified Arabic"/>
        </w:rPr>
        <w:t>based on the data of those sources</w:t>
      </w:r>
      <w:r>
        <w:rPr>
          <w:rFonts w:cs="Simplified Arabic"/>
        </w:rPr>
        <w:t>.</w:t>
      </w:r>
    </w:p>
    <w:p w:rsidR="00EF6733" w:rsidRPr="00CE68F2" w:rsidRDefault="00EF6733" w:rsidP="00EF6733">
      <w:pPr>
        <w:jc w:val="both"/>
        <w:rPr>
          <w:rFonts w:cs="Simplified Arabic"/>
          <w:lang w:val="en-US"/>
        </w:rPr>
      </w:pPr>
    </w:p>
    <w:p w:rsidR="00306D91" w:rsidRDefault="00306D91" w:rsidP="00306D91">
      <w:pPr>
        <w:jc w:val="both"/>
        <w:rPr>
          <w:rFonts w:cs="Simplified Arabic"/>
        </w:rPr>
      </w:pPr>
      <w:r w:rsidRPr="00A27771">
        <w:rPr>
          <w:rFonts w:cs="Simplified Arabic"/>
        </w:rPr>
        <w:t>To that end, PCBS is disseminating and analyzing findings and data of censuses to enhance awareness of the availability of statistical data in general, and censuses findings in particular, as well as raising awareness about their potential utilization and inter-linkages with various socio-economic conditions.  The outputs of this study cover areas of dissemination and analysis of census findings. This includes producing a series of user-oriented reports at different levels, including analytical, in-depth analysis and summary reports.</w:t>
      </w:r>
    </w:p>
    <w:p w:rsidR="00306D91" w:rsidRPr="00EF6733" w:rsidRDefault="00306D91" w:rsidP="00EF6733">
      <w:pPr>
        <w:jc w:val="both"/>
        <w:rPr>
          <w:rFonts w:cs="Simplified Arabic"/>
          <w:rtl/>
        </w:rPr>
      </w:pPr>
    </w:p>
    <w:p w:rsidR="00EF6733" w:rsidRPr="00EF6733" w:rsidRDefault="00EF6733" w:rsidP="009A4548">
      <w:pPr>
        <w:jc w:val="both"/>
        <w:rPr>
          <w:rFonts w:cs="Simplified Arabic"/>
        </w:rPr>
      </w:pPr>
      <w:r w:rsidRPr="00EF6733">
        <w:rPr>
          <w:rFonts w:cs="Simplified Arabic"/>
        </w:rPr>
        <w:t xml:space="preserve">The topic of sustainable housing development is one of the modern and contemporary issues, but its working methods are still insufficient and it depends on meeting the current housing needs without going into the needs of future generations.  Sustainable housing aims </w:t>
      </w:r>
      <w:r w:rsidR="00002C3A">
        <w:rPr>
          <w:rFonts w:cs="Simplified Arabic"/>
          <w:lang w:val="en-US"/>
        </w:rPr>
        <w:t>at</w:t>
      </w:r>
      <w:r w:rsidR="00002C3A" w:rsidRPr="00EF6733">
        <w:rPr>
          <w:rFonts w:cs="Simplified Arabic"/>
        </w:rPr>
        <w:t xml:space="preserve"> produc</w:t>
      </w:r>
      <w:r w:rsidR="00002C3A">
        <w:rPr>
          <w:rFonts w:cs="Simplified Arabic"/>
          <w:lang w:val="en-US"/>
        </w:rPr>
        <w:t>ing</w:t>
      </w:r>
      <w:r w:rsidR="00002C3A" w:rsidRPr="00EF6733">
        <w:rPr>
          <w:rFonts w:cs="Simplified Arabic"/>
        </w:rPr>
        <w:t xml:space="preserve"> </w:t>
      </w:r>
      <w:r w:rsidRPr="00EF6733">
        <w:rPr>
          <w:rFonts w:cs="Simplified Arabic"/>
        </w:rPr>
        <w:t>good quality housing at affordable prices in the short and long term</w:t>
      </w:r>
      <w:r w:rsidR="000F139E">
        <w:rPr>
          <w:rFonts w:cs="Simplified Arabic"/>
          <w:lang w:val="en-US"/>
        </w:rPr>
        <w:t>s</w:t>
      </w:r>
      <w:r w:rsidR="009A4548">
        <w:rPr>
          <w:rFonts w:cs="Simplified Arabic"/>
          <w:lang w:val="en-US"/>
        </w:rPr>
        <w:t>.</w:t>
      </w:r>
      <w:r w:rsidR="009A4548" w:rsidRPr="00EF6733">
        <w:rPr>
          <w:rFonts w:cs="Simplified Arabic"/>
        </w:rPr>
        <w:t xml:space="preserve"> </w:t>
      </w:r>
      <w:r w:rsidR="009A4548">
        <w:rPr>
          <w:rFonts w:cs="Simplified Arabic"/>
          <w:lang w:val="en-US"/>
        </w:rPr>
        <w:t>I</w:t>
      </w:r>
      <w:r w:rsidR="009A4548" w:rsidRPr="00EF6733">
        <w:rPr>
          <w:rFonts w:cs="Simplified Arabic"/>
        </w:rPr>
        <w:t xml:space="preserve">t </w:t>
      </w:r>
      <w:r w:rsidRPr="00EF6733">
        <w:rPr>
          <w:rFonts w:cs="Simplified Arabic"/>
        </w:rPr>
        <w:t xml:space="preserve">also aims </w:t>
      </w:r>
      <w:r w:rsidR="009A4548">
        <w:rPr>
          <w:rFonts w:cs="Simplified Arabic"/>
          <w:lang w:val="en-US"/>
        </w:rPr>
        <w:t>at achieving</w:t>
      </w:r>
      <w:r w:rsidR="009A4548" w:rsidRPr="00EF6733">
        <w:rPr>
          <w:rFonts w:cs="Simplified Arabic"/>
        </w:rPr>
        <w:t xml:space="preserve"> </w:t>
      </w:r>
      <w:r w:rsidR="009A4548">
        <w:rPr>
          <w:rFonts w:cs="Simplified Arabic"/>
          <w:lang w:val="en-US"/>
        </w:rPr>
        <w:t>e</w:t>
      </w:r>
      <w:r w:rsidR="009A4548" w:rsidRPr="00EF6733">
        <w:rPr>
          <w:rFonts w:cs="Simplified Arabic"/>
        </w:rPr>
        <w:t>conomic</w:t>
      </w:r>
      <w:r w:rsidRPr="00EF6733">
        <w:rPr>
          <w:rFonts w:cs="Simplified Arabic"/>
        </w:rPr>
        <w:t>, social and environmental sustainability, from planning to implementation, and at the same time</w:t>
      </w:r>
      <w:r w:rsidR="00DB3D04">
        <w:rPr>
          <w:rFonts w:cs="Simplified Arabic"/>
          <w:lang w:val="en-US"/>
        </w:rPr>
        <w:t>,</w:t>
      </w:r>
      <w:r w:rsidRPr="00EF6733">
        <w:rPr>
          <w:rFonts w:cs="Simplified Arabic"/>
        </w:rPr>
        <w:t xml:space="preserve"> producing affordable housing</w:t>
      </w:r>
      <w:r w:rsidRPr="00EF6733">
        <w:rPr>
          <w:rFonts w:cs="Simplified Arabic"/>
          <w:rtl/>
        </w:rPr>
        <w:t>.</w:t>
      </w:r>
    </w:p>
    <w:p w:rsidR="00EF6733" w:rsidRPr="00EF6733" w:rsidRDefault="00EF6733" w:rsidP="00EF6733">
      <w:pPr>
        <w:jc w:val="both"/>
        <w:rPr>
          <w:rFonts w:cs="Simplified Arabic"/>
          <w:rtl/>
        </w:rPr>
      </w:pPr>
    </w:p>
    <w:p w:rsidR="00EF6733" w:rsidRPr="00EF6733" w:rsidRDefault="00EF6733" w:rsidP="002373C4">
      <w:pPr>
        <w:jc w:val="both"/>
        <w:rPr>
          <w:rFonts w:cs="Simplified Arabic"/>
          <w:rtl/>
        </w:rPr>
      </w:pPr>
      <w:r w:rsidRPr="00EF6733">
        <w:rPr>
          <w:rFonts w:cs="Simplified Arabic"/>
        </w:rPr>
        <w:t xml:space="preserve">Therefore, the importance of this study lies in focusing on studying the sustainable housing development in Palestine through monitoring urban indicators, the general background related to housing development in Palestine, reviewing indicators of appropriate housing in Palestine, identifying the most important indicators of infrastructure, as well as monitoring obstacles and challenges that prevent achieving sustainable housing development. Also, identifying the determinants, problems, potentials and setting the strategic goals, while </w:t>
      </w:r>
      <w:r w:rsidR="0015570D">
        <w:rPr>
          <w:rFonts w:cs="Simplified Arabic"/>
          <w:lang w:val="en-US"/>
        </w:rPr>
        <w:t>highlighting</w:t>
      </w:r>
      <w:r w:rsidRPr="00EF6733">
        <w:rPr>
          <w:rFonts w:cs="Simplified Arabic"/>
        </w:rPr>
        <w:t xml:space="preserve"> the policies required to achieve </w:t>
      </w:r>
      <w:r w:rsidR="002373C4">
        <w:rPr>
          <w:rFonts w:cs="Simplified Arabic"/>
          <w:lang w:val="en-US"/>
        </w:rPr>
        <w:t>S</w:t>
      </w:r>
      <w:r w:rsidR="002373C4" w:rsidRPr="00EF6733">
        <w:rPr>
          <w:rFonts w:cs="Simplified Arabic"/>
        </w:rPr>
        <w:t xml:space="preserve">ustainable </w:t>
      </w:r>
      <w:r w:rsidR="002373C4">
        <w:rPr>
          <w:rFonts w:cs="Simplified Arabic"/>
          <w:lang w:val="en-US"/>
        </w:rPr>
        <w:t>H</w:t>
      </w:r>
      <w:r w:rsidR="002373C4" w:rsidRPr="00EF6733">
        <w:rPr>
          <w:rFonts w:cs="Simplified Arabic"/>
        </w:rPr>
        <w:t xml:space="preserve">ousing </w:t>
      </w:r>
      <w:r w:rsidR="002373C4">
        <w:rPr>
          <w:rFonts w:cs="Simplified Arabic"/>
          <w:lang w:val="en-US"/>
        </w:rPr>
        <w:t>D</w:t>
      </w:r>
      <w:r w:rsidR="002373C4" w:rsidRPr="00EF6733">
        <w:rPr>
          <w:rFonts w:cs="Simplified Arabic"/>
        </w:rPr>
        <w:t xml:space="preserve">evelopment </w:t>
      </w:r>
      <w:r w:rsidRPr="00EF6733">
        <w:rPr>
          <w:rFonts w:cs="Simplified Arabic"/>
        </w:rPr>
        <w:t>in Palestine</w:t>
      </w:r>
      <w:r w:rsidR="002373C4">
        <w:rPr>
          <w:rFonts w:cs="Simplified Arabic"/>
          <w:lang w:val="en-US"/>
        </w:rPr>
        <w:t>, i</w:t>
      </w:r>
      <w:r>
        <w:rPr>
          <w:rFonts w:cs="Simplified Arabic"/>
        </w:rPr>
        <w:t>n addition to</w:t>
      </w:r>
      <w:r w:rsidR="00306D91">
        <w:rPr>
          <w:rFonts w:cs="Simplified Arabic"/>
          <w:lang w:val="en-US"/>
        </w:rPr>
        <w:t xml:space="preserve"> </w:t>
      </w:r>
      <w:r w:rsidRPr="00EF6733">
        <w:rPr>
          <w:rFonts w:cs="Simplified Arabic"/>
        </w:rPr>
        <w:t>setting  some proposals to deal with the housing issue of degraded constructional areas</w:t>
      </w:r>
      <w:r w:rsidRPr="00EF6733">
        <w:rPr>
          <w:rFonts w:cs="Simplified Arabic"/>
          <w:rtl/>
        </w:rPr>
        <w:t>.</w:t>
      </w:r>
    </w:p>
    <w:p w:rsidR="00EF6733" w:rsidRPr="00EF6733" w:rsidRDefault="00EF6733" w:rsidP="00EF6733">
      <w:pPr>
        <w:jc w:val="both"/>
        <w:rPr>
          <w:rFonts w:cs="Simplified Arabic"/>
        </w:rPr>
      </w:pPr>
    </w:p>
    <w:p w:rsidR="00EF6733" w:rsidRPr="00E97DD8" w:rsidRDefault="00EF6733" w:rsidP="00861D62">
      <w:pPr>
        <w:jc w:val="both"/>
        <w:rPr>
          <w:rFonts w:cs="Simplified Arabic"/>
        </w:rPr>
      </w:pPr>
      <w:r w:rsidRPr="00F5529C">
        <w:rPr>
          <w:rFonts w:cs="Simplified Arabic"/>
        </w:rPr>
        <w:t>We are pleased to introduce this study “</w:t>
      </w:r>
      <w:r w:rsidRPr="00EF6733">
        <w:rPr>
          <w:rFonts w:cs="Simplified Arabic"/>
        </w:rPr>
        <w:t>Sustainable Housing Development in Palestine 2007</w:t>
      </w:r>
      <w:r>
        <w:rPr>
          <w:rFonts w:cs="Simplified Arabic"/>
          <w:lang w:val="en-US"/>
        </w:rPr>
        <w:t xml:space="preserve">, </w:t>
      </w:r>
      <w:r w:rsidRPr="00EF6733">
        <w:rPr>
          <w:rFonts w:cs="Simplified Arabic"/>
        </w:rPr>
        <w:t>2017</w:t>
      </w:r>
      <w:r w:rsidRPr="00F5529C">
        <w:rPr>
          <w:rFonts w:cs="Simplified Arabic"/>
        </w:rPr>
        <w:t>” as one of the outcomes of the census data analysis project, and to be a reference for planners and decision makers in the Palestinian public and private sectors towards strengthening the planning and policy making processes at various levels</w:t>
      </w:r>
      <w:r w:rsidRPr="00F5529C">
        <w:rPr>
          <w:rFonts w:cs="Simplified Arabic"/>
          <w:rtl/>
        </w:rPr>
        <w:t>.</w:t>
      </w:r>
    </w:p>
    <w:p w:rsidR="00FC6304" w:rsidRDefault="00FC6304" w:rsidP="00FC6304">
      <w:pPr>
        <w:jc w:val="both"/>
      </w:pPr>
    </w:p>
    <w:p w:rsidR="00FC6304" w:rsidRDefault="00FC6304" w:rsidP="00FC6304">
      <w:pPr>
        <w:jc w:val="both"/>
      </w:pPr>
    </w:p>
    <w:p w:rsidR="00FC6304" w:rsidRDefault="00FC6304" w:rsidP="00FC6304">
      <w:pPr>
        <w:jc w:val="both"/>
      </w:pPr>
    </w:p>
    <w:p w:rsidR="00FC6304" w:rsidRPr="00175A86" w:rsidRDefault="00FC6304" w:rsidP="00FC6304">
      <w:pPr>
        <w:jc w:val="both"/>
        <w:rPr>
          <w:rtl/>
        </w:rPr>
      </w:pPr>
    </w:p>
    <w:p w:rsidR="00FC6304" w:rsidRPr="00175A86" w:rsidRDefault="00FC6304" w:rsidP="00FC6304">
      <w:pPr>
        <w:jc w:val="both"/>
        <w:rPr>
          <w:rtl/>
        </w:rPr>
      </w:pPr>
    </w:p>
    <w:tbl>
      <w:tblPr>
        <w:tblW w:w="0" w:type="auto"/>
        <w:tblBorders>
          <w:insideH w:val="single" w:sz="8" w:space="0" w:color="auto"/>
        </w:tblBorders>
        <w:tblLook w:val="04A0" w:firstRow="1" w:lastRow="0" w:firstColumn="1" w:lastColumn="0" w:noHBand="0" w:noVBand="1"/>
      </w:tblPr>
      <w:tblGrid>
        <w:gridCol w:w="2518"/>
        <w:gridCol w:w="3544"/>
        <w:gridCol w:w="3224"/>
      </w:tblGrid>
      <w:tr w:rsidR="00FC6304" w:rsidRPr="00175A86" w:rsidTr="00144F6A">
        <w:tc>
          <w:tcPr>
            <w:tcW w:w="2518" w:type="dxa"/>
          </w:tcPr>
          <w:p w:rsidR="00FC6304" w:rsidRPr="00081C7F" w:rsidRDefault="005D751C" w:rsidP="00081C7F">
            <w:pPr>
              <w:rPr>
                <w:b/>
                <w:bCs/>
                <w:lang w:val="en-US"/>
              </w:rPr>
            </w:pPr>
            <w:r>
              <w:rPr>
                <w:b/>
                <w:bCs/>
                <w:color w:val="000000"/>
                <w:lang w:val="en-US"/>
              </w:rPr>
              <w:t>Au</w:t>
            </w:r>
            <w:r w:rsidR="00306D91">
              <w:rPr>
                <w:b/>
                <w:bCs/>
                <w:color w:val="000000"/>
                <w:lang w:val="en-US"/>
              </w:rPr>
              <w:t>g</w:t>
            </w:r>
            <w:r>
              <w:rPr>
                <w:b/>
                <w:bCs/>
                <w:color w:val="000000"/>
                <w:lang w:val="en-US"/>
              </w:rPr>
              <w:t>ust</w:t>
            </w:r>
            <w:r w:rsidR="00FC6304" w:rsidRPr="00175A86">
              <w:rPr>
                <w:b/>
                <w:bCs/>
              </w:rPr>
              <w:t xml:space="preserve">, </w:t>
            </w:r>
            <w:r w:rsidR="00081C7F">
              <w:rPr>
                <w:b/>
                <w:bCs/>
                <w:lang w:val="en-US"/>
              </w:rPr>
              <w:t>2020</w:t>
            </w:r>
          </w:p>
        </w:tc>
        <w:tc>
          <w:tcPr>
            <w:tcW w:w="3544" w:type="dxa"/>
          </w:tcPr>
          <w:p w:rsidR="00FC6304" w:rsidRPr="00175A86" w:rsidRDefault="00FC6304" w:rsidP="00144F6A">
            <w:pPr>
              <w:rPr>
                <w:b/>
                <w:bCs/>
              </w:rPr>
            </w:pPr>
          </w:p>
          <w:p w:rsidR="00FC6304" w:rsidRPr="00175A86" w:rsidRDefault="00FC6304" w:rsidP="00144F6A">
            <w:pPr>
              <w:jc w:val="both"/>
              <w:rPr>
                <w:b/>
                <w:bCs/>
                <w:rtl/>
              </w:rPr>
            </w:pPr>
          </w:p>
        </w:tc>
        <w:tc>
          <w:tcPr>
            <w:tcW w:w="3224" w:type="dxa"/>
            <w:vAlign w:val="center"/>
          </w:tcPr>
          <w:p w:rsidR="00FC6304" w:rsidRDefault="00BA5A85" w:rsidP="00144F6A">
            <w:pPr>
              <w:ind w:left="38"/>
              <w:jc w:val="center"/>
              <w:rPr>
                <w:b/>
                <w:bCs/>
                <w:lang w:val="en-US"/>
              </w:rPr>
            </w:pPr>
            <w:r>
              <w:rPr>
                <w:b/>
                <w:bCs/>
                <w:lang w:val="en-US"/>
              </w:rPr>
              <w:t xml:space="preserve">Dr. </w:t>
            </w:r>
            <w:r w:rsidR="00FC6304" w:rsidRPr="00175A86">
              <w:rPr>
                <w:b/>
                <w:bCs/>
              </w:rPr>
              <w:t>Ola Awad</w:t>
            </w:r>
          </w:p>
          <w:p w:rsidR="005135F7" w:rsidRPr="005135F7" w:rsidRDefault="005135F7" w:rsidP="00144F6A">
            <w:pPr>
              <w:ind w:left="38"/>
              <w:jc w:val="center"/>
              <w:rPr>
                <w:b/>
                <w:bCs/>
                <w:sz w:val="16"/>
                <w:szCs w:val="16"/>
                <w:lang w:val="en-US"/>
              </w:rPr>
            </w:pPr>
          </w:p>
          <w:p w:rsidR="00FC6304" w:rsidRPr="005E3165" w:rsidRDefault="00FC6304" w:rsidP="005E3165">
            <w:pPr>
              <w:ind w:left="38"/>
              <w:jc w:val="center"/>
              <w:rPr>
                <w:b/>
                <w:bCs/>
                <w:rtl/>
                <w:lang w:val="en-US"/>
              </w:rPr>
            </w:pPr>
            <w:r w:rsidRPr="00175A86">
              <w:rPr>
                <w:b/>
                <w:bCs/>
              </w:rPr>
              <w:t>President of PCBS</w:t>
            </w:r>
          </w:p>
        </w:tc>
      </w:tr>
    </w:tbl>
    <w:p w:rsidR="00FC6304" w:rsidRPr="00F77F70" w:rsidRDefault="00FC6304" w:rsidP="00FC6304">
      <w:pPr>
        <w:jc w:val="both"/>
        <w:rPr>
          <w:rFonts w:ascii="Simplified Arabic" w:hAnsi="Simplified Arabic" w:cs="Simplified Arabic"/>
          <w:b/>
          <w:bCs/>
          <w:sz w:val="20"/>
          <w:szCs w:val="20"/>
        </w:rPr>
      </w:pPr>
    </w:p>
    <w:p w:rsidR="00FC6304" w:rsidRPr="00F77F70" w:rsidRDefault="00FC6304" w:rsidP="00FC6304">
      <w:pPr>
        <w:jc w:val="both"/>
        <w:rPr>
          <w:rFonts w:ascii="Simplified Arabic" w:hAnsi="Simplified Arabic" w:cs="Simplified Arabic"/>
          <w:b/>
          <w:bCs/>
          <w:sz w:val="20"/>
          <w:szCs w:val="20"/>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FC6B5F" w:rsidRDefault="00FC6B5F" w:rsidP="006C0A24">
      <w:pPr>
        <w:rPr>
          <w:rFonts w:ascii="Simplified Arabic" w:hAnsi="Simplified Arabic" w:cs="Simplified Arabic"/>
          <w:b/>
          <w:bCs/>
          <w:sz w:val="20"/>
          <w:szCs w:val="20"/>
          <w:lang w:val="en-US"/>
        </w:rPr>
      </w:pPr>
    </w:p>
    <w:p w:rsidR="00254072" w:rsidRPr="00D02614" w:rsidRDefault="00254072" w:rsidP="00904FC0">
      <w:pPr>
        <w:jc w:val="center"/>
        <w:rPr>
          <w:b/>
          <w:lang w:val="en-US"/>
        </w:rPr>
      </w:pPr>
      <w:bookmarkStart w:id="1" w:name="_Toc22222529"/>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904FC0">
      <w:pPr>
        <w:jc w:val="center"/>
        <w:rPr>
          <w:b/>
          <w:lang w:val="en-US"/>
        </w:rPr>
      </w:pPr>
    </w:p>
    <w:p w:rsidR="00254072" w:rsidRPr="00D02614" w:rsidRDefault="00254072" w:rsidP="002273A3">
      <w:pPr>
        <w:rPr>
          <w:b/>
          <w:lang w:val="en-US"/>
        </w:rPr>
      </w:pPr>
    </w:p>
    <w:p w:rsidR="004B7B37" w:rsidRDefault="00A7274B" w:rsidP="004B7B37">
      <w:pPr>
        <w:jc w:val="center"/>
        <w:rPr>
          <w:b/>
          <w:sz w:val="28"/>
          <w:szCs w:val="28"/>
          <w:lang w:val="en-US"/>
        </w:rPr>
      </w:pPr>
      <w:r w:rsidRPr="00D02614">
        <w:rPr>
          <w:b/>
          <w:lang w:val="en-US"/>
        </w:rPr>
        <w:br w:type="page"/>
      </w:r>
      <w:bookmarkEnd w:id="1"/>
      <w:r w:rsidR="004B7B37" w:rsidRPr="004B7B37">
        <w:rPr>
          <w:b/>
          <w:sz w:val="28"/>
          <w:szCs w:val="28"/>
          <w:lang w:val="en-US"/>
        </w:rPr>
        <w:lastRenderedPageBreak/>
        <w:t>Executive Summary</w:t>
      </w:r>
    </w:p>
    <w:p w:rsidR="00D85E83" w:rsidRPr="004B7B37" w:rsidRDefault="00D85E83" w:rsidP="004B7B37">
      <w:pPr>
        <w:jc w:val="center"/>
        <w:rPr>
          <w:b/>
          <w:sz w:val="28"/>
          <w:szCs w:val="28"/>
          <w:lang w:val="en-US"/>
        </w:rPr>
      </w:pPr>
    </w:p>
    <w:p w:rsidR="00064487" w:rsidRPr="00064487" w:rsidRDefault="00064487" w:rsidP="0047146B">
      <w:pPr>
        <w:jc w:val="lowKashida"/>
        <w:rPr>
          <w:lang w:eastAsia="ar-SA"/>
        </w:rPr>
      </w:pPr>
      <w:r w:rsidRPr="000317C3">
        <w:rPr>
          <w:lang w:eastAsia="ar-SA"/>
        </w:rPr>
        <w:t xml:space="preserve">Housing is deemed </w:t>
      </w:r>
      <w:r w:rsidR="005D16CA">
        <w:rPr>
          <w:lang w:val="en-US" w:eastAsia="ar-SA"/>
        </w:rPr>
        <w:t xml:space="preserve">as </w:t>
      </w:r>
      <w:r w:rsidRPr="000317C3">
        <w:rPr>
          <w:lang w:eastAsia="ar-SA"/>
        </w:rPr>
        <w:t xml:space="preserve">one of the requirements of modern life that no country in the world has been able to reach a final solution to its problems hitherto. It is one of the most exacerbating problems because of the wide gap between supply and demand.  The concept of sustainable housing development depends on meeting the current needs of housing without detriment to the needs of future generations. Sustainable housing aims </w:t>
      </w:r>
      <w:r w:rsidR="00CF252D">
        <w:rPr>
          <w:lang w:val="en-US" w:eastAsia="ar-SA"/>
        </w:rPr>
        <w:t>at</w:t>
      </w:r>
      <w:r w:rsidR="00CF252D" w:rsidRPr="000317C3">
        <w:rPr>
          <w:lang w:eastAsia="ar-SA"/>
        </w:rPr>
        <w:t xml:space="preserve"> produc</w:t>
      </w:r>
      <w:r w:rsidR="00CF252D">
        <w:rPr>
          <w:lang w:val="en-US" w:eastAsia="ar-SA"/>
        </w:rPr>
        <w:t>ing</w:t>
      </w:r>
      <w:r w:rsidR="00CF252D" w:rsidRPr="000317C3">
        <w:rPr>
          <w:lang w:eastAsia="ar-SA"/>
        </w:rPr>
        <w:t xml:space="preserve"> </w:t>
      </w:r>
      <w:r w:rsidRPr="000317C3">
        <w:rPr>
          <w:lang w:eastAsia="ar-SA"/>
        </w:rPr>
        <w:t>good quality housing at affordable prices on the short and long terms. It also aims at realizing economic, social and environmental sustainability, from the stage of planning to implementation, and producing affordable housing at the same time.</w:t>
      </w:r>
    </w:p>
    <w:p w:rsidR="00064487" w:rsidRPr="00064487" w:rsidRDefault="00064487" w:rsidP="0047146B">
      <w:pPr>
        <w:jc w:val="both"/>
        <w:rPr>
          <w:lang w:val="en-US"/>
        </w:rPr>
      </w:pPr>
    </w:p>
    <w:p w:rsidR="00064487" w:rsidRPr="000317C3" w:rsidRDefault="00064487" w:rsidP="0047146B">
      <w:pPr>
        <w:jc w:val="both"/>
        <w:rPr>
          <w:b/>
          <w:bCs/>
        </w:rPr>
      </w:pPr>
      <w:r w:rsidRPr="000317C3">
        <w:rPr>
          <w:b/>
          <w:bCs/>
        </w:rPr>
        <w:t>Theoretical framework of the study</w:t>
      </w:r>
    </w:p>
    <w:p w:rsidR="00064487" w:rsidRPr="000317C3" w:rsidRDefault="00064487" w:rsidP="007E7DF1">
      <w:pPr>
        <w:keepNext/>
        <w:jc w:val="both"/>
        <w:outlineLvl w:val="0"/>
        <w:rPr>
          <w:lang w:eastAsia="ar-SA"/>
        </w:rPr>
      </w:pPr>
      <w:r w:rsidRPr="000317C3">
        <w:rPr>
          <w:lang w:eastAsia="ar-SA"/>
        </w:rPr>
        <w:t>This chapter reviews the structure of the study entitled ‘Sustainable Housing Development in Palestine 2007, 2017</w:t>
      </w:r>
      <w:r w:rsidR="003F07E4">
        <w:rPr>
          <w:lang w:val="en-US" w:eastAsia="ar-SA"/>
        </w:rPr>
        <w:t>'</w:t>
      </w:r>
      <w:r w:rsidRPr="000317C3">
        <w:rPr>
          <w:lang w:eastAsia="ar-SA"/>
        </w:rPr>
        <w:t xml:space="preserve">. The scope of this study covers </w:t>
      </w:r>
      <w:r w:rsidR="004F11E7" w:rsidRPr="004F11E7">
        <w:rPr>
          <w:lang w:eastAsia="ar-SA"/>
        </w:rPr>
        <w:t>State of Palestine</w:t>
      </w:r>
      <w:r w:rsidRPr="000317C3">
        <w:rPr>
          <w:lang w:eastAsia="ar-SA"/>
        </w:rPr>
        <w:t>, while the time limit covers the period (from 2007 to 2017) The forward-look period of this study expand</w:t>
      </w:r>
      <w:r w:rsidR="00A029EC">
        <w:rPr>
          <w:lang w:val="en-US" w:eastAsia="ar-SA"/>
        </w:rPr>
        <w:t>s</w:t>
      </w:r>
      <w:r w:rsidRPr="000317C3">
        <w:rPr>
          <w:lang w:eastAsia="ar-SA"/>
        </w:rPr>
        <w:t xml:space="preserve"> to the year (2030). The study aims at trac</w:t>
      </w:r>
      <w:r w:rsidR="00A029EC">
        <w:rPr>
          <w:lang w:val="en-US" w:eastAsia="ar-SA"/>
        </w:rPr>
        <w:t>k</w:t>
      </w:r>
      <w:r w:rsidRPr="000317C3">
        <w:rPr>
          <w:lang w:eastAsia="ar-SA"/>
        </w:rPr>
        <w:t xml:space="preserve">ing the urban indicators and the general background associated with housing development in Palestine, as well as presenting the indicators of adequate housing in Palestine. The study also aims at identifying the most important indicators of infrastructure, the obstacles and challenges that prevent the achievement of sustainable housing development. It also aspires to analyze the main indicators and examine the determinants, problems and potentials and setting forth the strategic objectives and </w:t>
      </w:r>
      <w:r w:rsidR="00850A4A">
        <w:rPr>
          <w:lang w:val="en-US" w:eastAsia="ar-SA"/>
        </w:rPr>
        <w:t>highlighting</w:t>
      </w:r>
      <w:r w:rsidRPr="000317C3">
        <w:rPr>
          <w:lang w:eastAsia="ar-SA"/>
        </w:rPr>
        <w:t xml:space="preserve"> the policies needed to achieve sustainable housing development in Palestine, and finally suggesting some proposals to address the problem of housing in urban slumping areas.</w:t>
      </w:r>
    </w:p>
    <w:p w:rsidR="00064487" w:rsidRPr="000317C3" w:rsidRDefault="00064487" w:rsidP="0047146B">
      <w:pPr>
        <w:jc w:val="both"/>
      </w:pPr>
    </w:p>
    <w:p w:rsidR="00064487" w:rsidRPr="000317C3" w:rsidRDefault="00064487" w:rsidP="00A94E2C">
      <w:pPr>
        <w:jc w:val="both"/>
        <w:rPr>
          <w:b/>
          <w:bCs/>
        </w:rPr>
      </w:pPr>
      <w:r w:rsidRPr="000317C3">
        <w:rPr>
          <w:b/>
          <w:bCs/>
        </w:rPr>
        <w:t xml:space="preserve">Urban </w:t>
      </w:r>
      <w:r w:rsidR="00A94E2C">
        <w:rPr>
          <w:b/>
          <w:bCs/>
          <w:lang w:val="en-US"/>
        </w:rPr>
        <w:t>i</w:t>
      </w:r>
      <w:r w:rsidRPr="000317C3">
        <w:rPr>
          <w:b/>
          <w:bCs/>
        </w:rPr>
        <w:t xml:space="preserve">ndicators (general background) related to </w:t>
      </w:r>
      <w:r w:rsidR="00A94E2C">
        <w:rPr>
          <w:b/>
          <w:bCs/>
          <w:lang w:val="en-US"/>
        </w:rPr>
        <w:t>h</w:t>
      </w:r>
      <w:r w:rsidRPr="000317C3">
        <w:rPr>
          <w:b/>
          <w:bCs/>
        </w:rPr>
        <w:t xml:space="preserve">ousing </w:t>
      </w:r>
      <w:r w:rsidR="00A94E2C">
        <w:rPr>
          <w:b/>
          <w:bCs/>
          <w:lang w:val="en-US"/>
        </w:rPr>
        <w:t>d</w:t>
      </w:r>
      <w:r w:rsidRPr="000317C3">
        <w:rPr>
          <w:b/>
          <w:bCs/>
        </w:rPr>
        <w:t>evelopment in Palestine</w:t>
      </w:r>
    </w:p>
    <w:p w:rsidR="00064487" w:rsidRPr="000317C3" w:rsidRDefault="00064487" w:rsidP="008835F1">
      <w:pPr>
        <w:pStyle w:val="ListParagraph"/>
        <w:numPr>
          <w:ilvl w:val="0"/>
          <w:numId w:val="3"/>
        </w:numPr>
        <w:bidi w:val="0"/>
        <w:ind w:left="284" w:hanging="284"/>
        <w:jc w:val="both"/>
        <w:rPr>
          <w:b/>
          <w:bCs/>
          <w:szCs w:val="24"/>
        </w:rPr>
      </w:pPr>
      <w:r w:rsidRPr="000317C3">
        <w:rPr>
          <w:b/>
          <w:bCs/>
          <w:szCs w:val="24"/>
        </w:rPr>
        <w:t xml:space="preserve">Population size and growth </w:t>
      </w:r>
    </w:p>
    <w:p w:rsidR="00064487" w:rsidRPr="000317C3" w:rsidRDefault="00064487" w:rsidP="0047146B">
      <w:pPr>
        <w:jc w:val="lowKashida"/>
        <w:rPr>
          <w:lang w:eastAsia="ar-SA"/>
        </w:rPr>
      </w:pPr>
      <w:r w:rsidRPr="000317C3">
        <w:rPr>
          <w:lang w:eastAsia="ar-SA"/>
        </w:rPr>
        <w:t>The population of Palestine according to the results of the census 2017 is (4,781,248)</w:t>
      </w:r>
      <w:r w:rsidR="004F11E7">
        <w:rPr>
          <w:lang w:val="en-US" w:eastAsia="ar-SA"/>
        </w:rPr>
        <w:t xml:space="preserve"> persons</w:t>
      </w:r>
      <w:r w:rsidRPr="000317C3">
        <w:rPr>
          <w:lang w:eastAsia="ar-SA"/>
        </w:rPr>
        <w:t xml:space="preserve">, which represents a rise in the population during the </w:t>
      </w:r>
      <w:r w:rsidR="00850A4A">
        <w:rPr>
          <w:lang w:val="en-US" w:eastAsia="ar-SA"/>
        </w:rPr>
        <w:t>past</w:t>
      </w:r>
      <w:r w:rsidR="00850A4A" w:rsidRPr="000317C3">
        <w:rPr>
          <w:lang w:eastAsia="ar-SA"/>
        </w:rPr>
        <w:t xml:space="preserve"> </w:t>
      </w:r>
      <w:r w:rsidRPr="000317C3">
        <w:rPr>
          <w:lang w:eastAsia="ar-SA"/>
        </w:rPr>
        <w:t>twenty years, since the census of 1997, by 65.1%. The population is distributed by region; 2,881,957</w:t>
      </w:r>
      <w:r w:rsidR="004F11E7">
        <w:rPr>
          <w:lang w:val="en-US" w:eastAsia="ar-SA"/>
        </w:rPr>
        <w:t xml:space="preserve"> persons</w:t>
      </w:r>
      <w:r w:rsidRPr="000317C3">
        <w:rPr>
          <w:lang w:eastAsia="ar-SA"/>
        </w:rPr>
        <w:t xml:space="preserve"> in the West Bank and 1,899,291</w:t>
      </w:r>
      <w:r w:rsidR="004F11E7" w:rsidRPr="004F11E7">
        <w:rPr>
          <w:lang w:val="en-US" w:eastAsia="ar-SA"/>
        </w:rPr>
        <w:t xml:space="preserve"> </w:t>
      </w:r>
      <w:r w:rsidR="004F11E7">
        <w:rPr>
          <w:lang w:val="en-US" w:eastAsia="ar-SA"/>
        </w:rPr>
        <w:t>persons</w:t>
      </w:r>
      <w:r w:rsidRPr="000317C3">
        <w:rPr>
          <w:lang w:eastAsia="ar-SA"/>
        </w:rPr>
        <w:t xml:space="preserve"> in Gaza Strip. It is striking that the outbalancing relative weight of the population is directed towards Gaza Strip. It is estimated that the estimated population of the Palestinian population in the West Bank and Gaza Strip in 2030 will be approximately 6.4 million</w:t>
      </w:r>
      <w:r w:rsidR="004F11E7" w:rsidRPr="004F11E7">
        <w:rPr>
          <w:lang w:val="en-US" w:eastAsia="ar-SA"/>
        </w:rPr>
        <w:t xml:space="preserve"> </w:t>
      </w:r>
      <w:r w:rsidR="004F11E7">
        <w:rPr>
          <w:lang w:val="en-US" w:eastAsia="ar-SA"/>
        </w:rPr>
        <w:t>persons</w:t>
      </w:r>
      <w:r w:rsidRPr="000317C3">
        <w:rPr>
          <w:lang w:eastAsia="ar-SA"/>
        </w:rPr>
        <w:t>, 3.7 million</w:t>
      </w:r>
      <w:r w:rsidR="004F11E7" w:rsidRPr="004F11E7">
        <w:rPr>
          <w:lang w:val="en-US" w:eastAsia="ar-SA"/>
        </w:rPr>
        <w:t xml:space="preserve"> </w:t>
      </w:r>
      <w:r w:rsidR="004F11E7">
        <w:rPr>
          <w:lang w:val="en-US" w:eastAsia="ar-SA"/>
        </w:rPr>
        <w:t>persons</w:t>
      </w:r>
      <w:r w:rsidRPr="000317C3">
        <w:rPr>
          <w:lang w:eastAsia="ar-SA"/>
        </w:rPr>
        <w:t xml:space="preserve"> in the West Bank, and 2.6 million in Gaza Strip. This increase in population created difficult conditions</w:t>
      </w:r>
      <w:r w:rsidR="00386402">
        <w:rPr>
          <w:lang w:val="en-US" w:eastAsia="ar-SA"/>
        </w:rPr>
        <w:t>,</w:t>
      </w:r>
      <w:r w:rsidRPr="000317C3">
        <w:rPr>
          <w:lang w:eastAsia="ar-SA"/>
        </w:rPr>
        <w:t xml:space="preserve"> especially in Gaza Strip. </w:t>
      </w:r>
      <w:r w:rsidR="00386402">
        <w:rPr>
          <w:lang w:val="en-US" w:eastAsia="ar-SA"/>
        </w:rPr>
        <w:t>Such an</w:t>
      </w:r>
      <w:r w:rsidR="00386402" w:rsidRPr="000317C3">
        <w:rPr>
          <w:lang w:eastAsia="ar-SA"/>
        </w:rPr>
        <w:t xml:space="preserve"> </w:t>
      </w:r>
      <w:r w:rsidRPr="000317C3">
        <w:rPr>
          <w:lang w:eastAsia="ar-SA"/>
        </w:rPr>
        <w:t>increase in</w:t>
      </w:r>
      <w:r w:rsidR="00386402">
        <w:rPr>
          <w:lang w:val="en-US" w:eastAsia="ar-SA"/>
        </w:rPr>
        <w:t xml:space="preserve"> the</w:t>
      </w:r>
      <w:r w:rsidRPr="000317C3">
        <w:rPr>
          <w:lang w:eastAsia="ar-SA"/>
        </w:rPr>
        <w:t xml:space="preserve"> population made it difficult to provide housing to meet the needs of the new households.</w:t>
      </w:r>
    </w:p>
    <w:p w:rsidR="00064487" w:rsidRPr="00064487" w:rsidRDefault="00064487" w:rsidP="0047146B">
      <w:pPr>
        <w:jc w:val="both"/>
        <w:rPr>
          <w:lang w:val="en-US"/>
        </w:rPr>
      </w:pPr>
    </w:p>
    <w:p w:rsidR="00064487" w:rsidRPr="000317C3" w:rsidRDefault="00064487" w:rsidP="008835F1">
      <w:pPr>
        <w:pStyle w:val="ListParagraph"/>
        <w:numPr>
          <w:ilvl w:val="0"/>
          <w:numId w:val="3"/>
        </w:numPr>
        <w:bidi w:val="0"/>
        <w:ind w:left="284" w:hanging="284"/>
        <w:jc w:val="both"/>
        <w:rPr>
          <w:b/>
          <w:bCs/>
          <w:szCs w:val="24"/>
        </w:rPr>
      </w:pPr>
      <w:r w:rsidRPr="000317C3">
        <w:rPr>
          <w:b/>
          <w:bCs/>
          <w:szCs w:val="24"/>
        </w:rPr>
        <w:t xml:space="preserve">Urban </w:t>
      </w:r>
      <w:r w:rsidR="00A94E2C">
        <w:rPr>
          <w:b/>
          <w:bCs/>
          <w:szCs w:val="24"/>
        </w:rPr>
        <w:t>p</w:t>
      </w:r>
      <w:r w:rsidRPr="000317C3">
        <w:rPr>
          <w:b/>
          <w:bCs/>
          <w:szCs w:val="24"/>
        </w:rPr>
        <w:t xml:space="preserve">opulation </w:t>
      </w:r>
      <w:r w:rsidR="00A94E2C">
        <w:rPr>
          <w:b/>
          <w:bCs/>
          <w:szCs w:val="24"/>
        </w:rPr>
        <w:t>g</w:t>
      </w:r>
      <w:r w:rsidRPr="000317C3">
        <w:rPr>
          <w:b/>
          <w:bCs/>
          <w:szCs w:val="24"/>
        </w:rPr>
        <w:t xml:space="preserve">rowth </w:t>
      </w:r>
    </w:p>
    <w:p w:rsidR="00064487" w:rsidRDefault="00064487" w:rsidP="00FC7147">
      <w:pPr>
        <w:jc w:val="lowKashida"/>
        <w:rPr>
          <w:lang w:val="en-US" w:eastAsia="ar-SA"/>
        </w:rPr>
      </w:pPr>
      <w:r w:rsidRPr="000317C3">
        <w:rPr>
          <w:lang w:eastAsia="ar-SA"/>
        </w:rPr>
        <w:t xml:space="preserve">The percentage of </w:t>
      </w:r>
      <w:r w:rsidR="008461AB" w:rsidRPr="000317C3">
        <w:rPr>
          <w:lang w:eastAsia="ar-SA"/>
        </w:rPr>
        <w:t>urban</w:t>
      </w:r>
      <w:r w:rsidR="004F11E7">
        <w:rPr>
          <w:lang w:val="en-US" w:eastAsia="ar-SA"/>
        </w:rPr>
        <w:t xml:space="preserve"> areas</w:t>
      </w:r>
      <w:r w:rsidR="008461AB" w:rsidRPr="000317C3">
        <w:rPr>
          <w:lang w:eastAsia="ar-SA"/>
        </w:rPr>
        <w:t xml:space="preserve"> </w:t>
      </w:r>
      <w:r w:rsidRPr="000317C3">
        <w:rPr>
          <w:lang w:eastAsia="ar-SA"/>
        </w:rPr>
        <w:t>population in 1997 was (53</w:t>
      </w:r>
      <w:r w:rsidR="008461AB">
        <w:rPr>
          <w:lang w:val="en-US" w:eastAsia="ar-SA"/>
        </w:rPr>
        <w:t>.1</w:t>
      </w:r>
      <w:r w:rsidRPr="000317C3">
        <w:rPr>
          <w:lang w:eastAsia="ar-SA"/>
        </w:rPr>
        <w:t xml:space="preserve">%), then rose to (73.5%) in 2007, and to (77.1%) in 2017. Therefore, the percentage of urban population is high once compared to other countries. The growth </w:t>
      </w:r>
      <w:r w:rsidR="00FC7147">
        <w:rPr>
          <w:lang w:val="en-US" w:eastAsia="ar-SA"/>
        </w:rPr>
        <w:t>rate</w:t>
      </w:r>
      <w:r w:rsidR="001E204C" w:rsidRPr="000317C3">
        <w:rPr>
          <w:lang w:eastAsia="ar-SA"/>
        </w:rPr>
        <w:t xml:space="preserve"> </w:t>
      </w:r>
      <w:r w:rsidRPr="000317C3">
        <w:rPr>
          <w:lang w:eastAsia="ar-SA"/>
        </w:rPr>
        <w:t xml:space="preserve">of the urban </w:t>
      </w:r>
      <w:r w:rsidR="00FB2C3E">
        <w:rPr>
          <w:lang w:val="en-US" w:eastAsia="ar-SA"/>
        </w:rPr>
        <w:t>areas</w:t>
      </w:r>
      <w:r w:rsidR="00FB2C3E" w:rsidRPr="000317C3">
        <w:rPr>
          <w:lang w:eastAsia="ar-SA"/>
        </w:rPr>
        <w:t xml:space="preserve"> </w:t>
      </w:r>
      <w:r w:rsidRPr="000317C3">
        <w:rPr>
          <w:lang w:eastAsia="ar-SA"/>
        </w:rPr>
        <w:t>population is increasing rapid</w:t>
      </w:r>
      <w:r w:rsidR="005A197C">
        <w:rPr>
          <w:lang w:val="en-US" w:eastAsia="ar-SA"/>
        </w:rPr>
        <w:t>ly</w:t>
      </w:r>
      <w:r w:rsidRPr="000317C3">
        <w:rPr>
          <w:lang w:eastAsia="ar-SA"/>
        </w:rPr>
        <w:t xml:space="preserve">, </w:t>
      </w:r>
      <w:r w:rsidR="00B215BA">
        <w:rPr>
          <w:lang w:val="en-US" w:eastAsia="ar-SA"/>
        </w:rPr>
        <w:t xml:space="preserve">and the </w:t>
      </w:r>
      <w:r w:rsidRPr="000317C3">
        <w:rPr>
          <w:lang w:eastAsia="ar-SA"/>
        </w:rPr>
        <w:t xml:space="preserve">unplanned </w:t>
      </w:r>
      <w:r w:rsidR="00B215BA">
        <w:rPr>
          <w:lang w:val="en-US" w:eastAsia="ar-SA"/>
        </w:rPr>
        <w:t>as well as</w:t>
      </w:r>
      <w:r w:rsidR="00B215BA" w:rsidRPr="000317C3">
        <w:rPr>
          <w:lang w:eastAsia="ar-SA"/>
        </w:rPr>
        <w:t xml:space="preserve"> </w:t>
      </w:r>
      <w:r w:rsidRPr="000317C3">
        <w:rPr>
          <w:lang w:eastAsia="ar-SA"/>
        </w:rPr>
        <w:t>unsustainable urban</w:t>
      </w:r>
      <w:r w:rsidR="004F11E7" w:rsidRPr="004F11E7">
        <w:rPr>
          <w:lang w:val="en-US" w:eastAsia="ar-SA"/>
        </w:rPr>
        <w:t xml:space="preserve"> </w:t>
      </w:r>
      <w:r w:rsidR="004F11E7">
        <w:rPr>
          <w:lang w:val="en-US" w:eastAsia="ar-SA"/>
        </w:rPr>
        <w:t>areas</w:t>
      </w:r>
      <w:r w:rsidRPr="000317C3">
        <w:rPr>
          <w:lang w:eastAsia="ar-SA"/>
        </w:rPr>
        <w:t xml:space="preserve"> development makes cities a habitat for many emerging environmental and health dangers, not to mention the urban sprawl on farmlands.</w:t>
      </w:r>
    </w:p>
    <w:p w:rsidR="007525BA" w:rsidRDefault="007525BA" w:rsidP="0047146B">
      <w:pPr>
        <w:jc w:val="lowKashida"/>
        <w:rPr>
          <w:lang w:val="en-US" w:eastAsia="ar-SA"/>
        </w:rPr>
      </w:pPr>
    </w:p>
    <w:p w:rsidR="00064487" w:rsidRPr="000317C3" w:rsidRDefault="00064487" w:rsidP="008835F1">
      <w:pPr>
        <w:pStyle w:val="ListParagraph"/>
        <w:numPr>
          <w:ilvl w:val="0"/>
          <w:numId w:val="3"/>
        </w:numPr>
        <w:bidi w:val="0"/>
        <w:ind w:left="284" w:hanging="284"/>
        <w:jc w:val="both"/>
        <w:rPr>
          <w:b/>
          <w:bCs/>
          <w:szCs w:val="24"/>
        </w:rPr>
      </w:pPr>
      <w:r w:rsidRPr="000317C3">
        <w:rPr>
          <w:b/>
          <w:bCs/>
          <w:szCs w:val="24"/>
        </w:rPr>
        <w:t xml:space="preserve">Household formation and household size </w:t>
      </w:r>
    </w:p>
    <w:p w:rsidR="00064487" w:rsidRPr="000317C3" w:rsidRDefault="00064487" w:rsidP="004F11E7">
      <w:pPr>
        <w:jc w:val="lowKashida"/>
        <w:rPr>
          <w:lang w:eastAsia="ar-SA"/>
        </w:rPr>
      </w:pPr>
      <w:r w:rsidRPr="000317C3">
        <w:rPr>
          <w:lang w:eastAsia="ar-SA"/>
        </w:rPr>
        <w:t xml:space="preserve">The indicator of </w:t>
      </w:r>
      <w:r w:rsidR="000C4FEF">
        <w:rPr>
          <w:lang w:val="en-US" w:eastAsia="ar-SA"/>
        </w:rPr>
        <w:t>household</w:t>
      </w:r>
      <w:r w:rsidR="000C4FEF" w:rsidRPr="000317C3">
        <w:rPr>
          <w:lang w:eastAsia="ar-SA"/>
        </w:rPr>
        <w:t xml:space="preserve"> </w:t>
      </w:r>
      <w:r w:rsidRPr="000317C3">
        <w:rPr>
          <w:lang w:eastAsia="ar-SA"/>
        </w:rPr>
        <w:t xml:space="preserve">formation and size is important for estimating the volume of demand for housing. There is no doubt that the phenomenon of marriage in any society directly affects the formation of new households, and consequently on population growth, which results in an increased demand for housing. The number of private </w:t>
      </w:r>
      <w:bookmarkStart w:id="2" w:name="_Hlk39580545"/>
      <w:r w:rsidRPr="000317C3">
        <w:rPr>
          <w:lang w:eastAsia="ar-SA"/>
        </w:rPr>
        <w:t xml:space="preserve">households </w:t>
      </w:r>
      <w:bookmarkEnd w:id="2"/>
      <w:r w:rsidRPr="000317C3">
        <w:rPr>
          <w:lang w:eastAsia="ar-SA"/>
        </w:rPr>
        <w:t xml:space="preserve">in Palestine in 2017 reached 929,221 households, of which 594,511 households in the West </w:t>
      </w:r>
      <w:r w:rsidRPr="000317C3">
        <w:rPr>
          <w:lang w:eastAsia="ar-SA"/>
        </w:rPr>
        <w:lastRenderedPageBreak/>
        <w:t>Bank and 334,710 households in Gaza Strip. With regard</w:t>
      </w:r>
      <w:r w:rsidR="000C4FEF">
        <w:rPr>
          <w:lang w:val="en-US" w:eastAsia="ar-SA"/>
        </w:rPr>
        <w:t>s</w:t>
      </w:r>
      <w:r w:rsidRPr="000317C3">
        <w:rPr>
          <w:lang w:eastAsia="ar-SA"/>
        </w:rPr>
        <w:t xml:space="preserve"> to </w:t>
      </w:r>
      <w:r w:rsidR="000C4FEF">
        <w:rPr>
          <w:lang w:val="en-US" w:eastAsia="ar-SA"/>
        </w:rPr>
        <w:t>household</w:t>
      </w:r>
      <w:r w:rsidR="000C4FEF" w:rsidRPr="000317C3">
        <w:rPr>
          <w:lang w:eastAsia="ar-SA"/>
        </w:rPr>
        <w:t xml:space="preserve"> </w:t>
      </w:r>
      <w:r w:rsidRPr="000317C3">
        <w:rPr>
          <w:lang w:eastAsia="ar-SA"/>
        </w:rPr>
        <w:t xml:space="preserve">formation, the study </w:t>
      </w:r>
      <w:r w:rsidR="000C4FEF">
        <w:rPr>
          <w:lang w:val="en-US" w:eastAsia="ar-SA"/>
        </w:rPr>
        <w:t>found</w:t>
      </w:r>
      <w:r w:rsidR="000C4FEF" w:rsidRPr="000317C3">
        <w:rPr>
          <w:lang w:eastAsia="ar-SA"/>
        </w:rPr>
        <w:t xml:space="preserve"> </w:t>
      </w:r>
      <w:r w:rsidRPr="000317C3">
        <w:rPr>
          <w:lang w:eastAsia="ar-SA"/>
        </w:rPr>
        <w:t>that the percentage of</w:t>
      </w:r>
      <w:r w:rsidR="000C4FEF">
        <w:rPr>
          <w:lang w:val="en-US" w:eastAsia="ar-SA"/>
        </w:rPr>
        <w:t xml:space="preserve"> the</w:t>
      </w:r>
      <w:r w:rsidRPr="000317C3">
        <w:rPr>
          <w:lang w:eastAsia="ar-SA"/>
        </w:rPr>
        <w:t xml:space="preserve"> increase of households in Palestine during the period 1997-2017 reached 128.3% with an annual increase </w:t>
      </w:r>
      <w:r w:rsidR="00FC7147">
        <w:rPr>
          <w:lang w:val="en-US" w:eastAsia="ar-SA"/>
        </w:rPr>
        <w:t>rate</w:t>
      </w:r>
      <w:r w:rsidR="001E204C" w:rsidRPr="000317C3">
        <w:rPr>
          <w:lang w:eastAsia="ar-SA"/>
        </w:rPr>
        <w:t xml:space="preserve"> </w:t>
      </w:r>
      <w:r w:rsidRPr="000317C3">
        <w:rPr>
          <w:lang w:eastAsia="ar-SA"/>
        </w:rPr>
        <w:t xml:space="preserve">of about 6.4%, while the average </w:t>
      </w:r>
      <w:r w:rsidR="000C4FEF">
        <w:rPr>
          <w:lang w:val="en-US" w:eastAsia="ar-SA"/>
        </w:rPr>
        <w:t>household</w:t>
      </w:r>
      <w:r w:rsidR="000C4FEF" w:rsidRPr="000317C3">
        <w:rPr>
          <w:lang w:eastAsia="ar-SA"/>
        </w:rPr>
        <w:t xml:space="preserve"> </w:t>
      </w:r>
      <w:r w:rsidRPr="000317C3">
        <w:rPr>
          <w:lang w:eastAsia="ar-SA"/>
        </w:rPr>
        <w:t>size in Palestine in 2017 was (5.1); 4.8 in the West Bank and 5.6 in Gaza Strip. The planners in the housing sector have to consider the consequences</w:t>
      </w:r>
      <w:r w:rsidR="007829B5">
        <w:rPr>
          <w:lang w:val="en-US" w:eastAsia="ar-SA"/>
        </w:rPr>
        <w:t xml:space="preserve"> of</w:t>
      </w:r>
      <w:r w:rsidRPr="000317C3">
        <w:rPr>
          <w:lang w:eastAsia="ar-SA"/>
        </w:rPr>
        <w:t xml:space="preserve"> such increase to achieve a decent and sustainable life for the residents.</w:t>
      </w:r>
    </w:p>
    <w:p w:rsidR="00064487" w:rsidRPr="000317C3" w:rsidRDefault="00064487" w:rsidP="0047146B">
      <w:pPr>
        <w:jc w:val="both"/>
      </w:pPr>
    </w:p>
    <w:p w:rsidR="00064487" w:rsidRPr="000317C3" w:rsidRDefault="00064487" w:rsidP="008835F1">
      <w:pPr>
        <w:pStyle w:val="ListParagraph"/>
        <w:numPr>
          <w:ilvl w:val="0"/>
          <w:numId w:val="3"/>
        </w:numPr>
        <w:bidi w:val="0"/>
        <w:ind w:left="284" w:hanging="284"/>
        <w:jc w:val="both"/>
        <w:rPr>
          <w:b/>
          <w:bCs/>
          <w:szCs w:val="24"/>
        </w:rPr>
      </w:pPr>
      <w:r w:rsidRPr="000317C3">
        <w:rPr>
          <w:b/>
          <w:bCs/>
          <w:szCs w:val="24"/>
        </w:rPr>
        <w:t xml:space="preserve">Population density and population distribution </w:t>
      </w:r>
    </w:p>
    <w:p w:rsidR="00064487" w:rsidRPr="000317C3" w:rsidRDefault="00064487" w:rsidP="004F11E7">
      <w:pPr>
        <w:jc w:val="lowKashida"/>
        <w:rPr>
          <w:lang w:eastAsia="ar-SA"/>
        </w:rPr>
      </w:pPr>
      <w:r w:rsidRPr="000317C3">
        <w:rPr>
          <w:lang w:eastAsia="ar-SA"/>
        </w:rPr>
        <w:t>The general population density in Palestine reached (</w:t>
      </w:r>
      <w:r w:rsidR="008C29AE">
        <w:rPr>
          <w:lang w:val="en-US" w:eastAsia="ar-SA"/>
        </w:rPr>
        <w:t>781</w:t>
      </w:r>
      <w:r w:rsidRPr="000317C3">
        <w:rPr>
          <w:lang w:eastAsia="ar-SA"/>
        </w:rPr>
        <w:t xml:space="preserve">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w:t>
      </w:r>
      <w:r w:rsidR="007829B5">
        <w:rPr>
          <w:lang w:eastAsia="ar-SA"/>
        </w:rPr>
        <w:t>in 201</w:t>
      </w:r>
      <w:r w:rsidR="007829B5">
        <w:rPr>
          <w:lang w:val="en-US" w:eastAsia="ar-SA"/>
        </w:rPr>
        <w:t>7.T</w:t>
      </w:r>
      <w:r w:rsidR="007829B5" w:rsidRPr="000317C3">
        <w:rPr>
          <w:lang w:eastAsia="ar-SA"/>
        </w:rPr>
        <w:t xml:space="preserve">he </w:t>
      </w:r>
      <w:r w:rsidRPr="000317C3">
        <w:rPr>
          <w:lang w:eastAsia="ar-SA"/>
        </w:rPr>
        <w:t>population density in Gaza Strip is rising high</w:t>
      </w:r>
      <w:r w:rsidR="007829B5">
        <w:rPr>
          <w:lang w:val="en-US" w:eastAsia="ar-SA"/>
        </w:rPr>
        <w:t>ly</w:t>
      </w:r>
      <w:r w:rsidRPr="000317C3">
        <w:rPr>
          <w:lang w:eastAsia="ar-SA"/>
        </w:rPr>
        <w:t xml:space="preserve"> as it reached (</w:t>
      </w:r>
      <w:r w:rsidR="008461AB">
        <w:rPr>
          <w:lang w:val="en-US" w:eastAsia="ar-SA"/>
        </w:rPr>
        <w:t>5,138</w:t>
      </w:r>
      <w:r w:rsidRPr="000317C3">
        <w:rPr>
          <w:lang w:eastAsia="ar-SA"/>
        </w:rPr>
        <w:t xml:space="preserve"> </w:t>
      </w:r>
      <w:r w:rsidR="005953B7">
        <w:rPr>
          <w:lang w:val="en-US" w:eastAsia="ar-SA"/>
        </w:rPr>
        <w:t>person</w:t>
      </w:r>
      <w:r w:rsidR="007525BA">
        <w:rPr>
          <w:lang w:val="en-US" w:eastAsia="ar-SA"/>
        </w:rPr>
        <w:t>/</w:t>
      </w:r>
      <w:r w:rsidR="007525BA" w:rsidRPr="000317C3">
        <w:rPr>
          <w:lang w:eastAsia="ar-SA"/>
        </w:rPr>
        <w:t>km</w:t>
      </w:r>
      <w:r w:rsidR="007525BA" w:rsidRPr="007525BA">
        <w:rPr>
          <w:vertAlign w:val="superscript"/>
          <w:lang w:eastAsia="ar-SA"/>
        </w:rPr>
        <w:t>2</w:t>
      </w:r>
      <w:r w:rsidRPr="000317C3">
        <w:rPr>
          <w:lang w:eastAsia="ar-SA"/>
        </w:rPr>
        <w:t>), while the West Bank recorded much lower density than in Gaza Strip (</w:t>
      </w:r>
      <w:r w:rsidR="008461AB">
        <w:rPr>
          <w:lang w:val="en-US" w:eastAsia="ar-SA"/>
        </w:rPr>
        <w:t>500</w:t>
      </w:r>
      <w:r w:rsidR="007525BA">
        <w:rPr>
          <w:lang w:eastAsia="ar-SA"/>
        </w:rPr>
        <w:t xml:space="preserve"> </w:t>
      </w:r>
      <w:r w:rsidR="005953B7">
        <w:rPr>
          <w:lang w:val="en-US" w:eastAsia="ar-SA"/>
        </w:rPr>
        <w:t>person</w:t>
      </w:r>
      <w:r w:rsidR="007525BA">
        <w:rPr>
          <w:lang w:val="en-US" w:eastAsia="ar-SA"/>
        </w:rPr>
        <w:t>/</w:t>
      </w:r>
      <w:r w:rsidR="007525BA" w:rsidRPr="000317C3">
        <w:rPr>
          <w:lang w:eastAsia="ar-SA"/>
        </w:rPr>
        <w:t>km</w:t>
      </w:r>
      <w:r w:rsidR="007525BA" w:rsidRPr="007525BA">
        <w:rPr>
          <w:vertAlign w:val="superscript"/>
          <w:lang w:eastAsia="ar-SA"/>
        </w:rPr>
        <w:t>2</w:t>
      </w:r>
      <w:r w:rsidRPr="000317C3">
        <w:rPr>
          <w:lang w:eastAsia="ar-SA"/>
        </w:rPr>
        <w:t xml:space="preserve">). This means that the density in Gaza Strip is about 10.3 times higher than it is in the West Bank. If the population density in Palestine is compared to the population density in the world, it will be found that it is one of the highest population densities in the world. The population density in the West Bank over the two </w:t>
      </w:r>
      <w:r w:rsidR="002F1D8B">
        <w:rPr>
          <w:lang w:val="en-US" w:eastAsia="ar-SA"/>
        </w:rPr>
        <w:t>areas</w:t>
      </w:r>
      <w:r w:rsidR="002F1D8B" w:rsidRPr="000317C3">
        <w:rPr>
          <w:lang w:eastAsia="ar-SA"/>
        </w:rPr>
        <w:t xml:space="preserve"> </w:t>
      </w:r>
      <w:r w:rsidRPr="000317C3">
        <w:rPr>
          <w:lang w:eastAsia="ar-SA"/>
        </w:rPr>
        <w:t xml:space="preserve">(A + B) has reached </w:t>
      </w:r>
      <w:r w:rsidR="008C29AE">
        <w:rPr>
          <w:lang w:val="en-US" w:eastAsia="ar-SA"/>
        </w:rPr>
        <w:t>1,241</w:t>
      </w:r>
      <w:r w:rsidRPr="000317C3">
        <w:rPr>
          <w:lang w:eastAsia="ar-SA"/>
        </w:rPr>
        <w:t xml:space="preserve">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while the density on the built-up </w:t>
      </w:r>
      <w:r w:rsidR="004F11E7">
        <w:rPr>
          <w:lang w:val="en-US" w:eastAsia="ar-SA"/>
        </w:rPr>
        <w:t>area</w:t>
      </w:r>
      <w:r w:rsidRPr="000317C3">
        <w:rPr>
          <w:lang w:eastAsia="ar-SA"/>
        </w:rPr>
        <w:t xml:space="preserve"> in Palestine, in general, reached </w:t>
      </w:r>
      <w:r w:rsidR="008461AB">
        <w:rPr>
          <w:lang w:val="en-US" w:eastAsia="ar-SA"/>
        </w:rPr>
        <w:t>7,906</w:t>
      </w:r>
      <w:r w:rsidRPr="000317C3">
        <w:rPr>
          <w:lang w:eastAsia="ar-SA"/>
        </w:rPr>
        <w:t xml:space="preserve">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and </w:t>
      </w:r>
      <w:r w:rsidR="00C83CEF" w:rsidRPr="000317C3">
        <w:rPr>
          <w:lang w:eastAsia="ar-SA"/>
        </w:rPr>
        <w:t xml:space="preserve">it reached </w:t>
      </w:r>
      <w:r w:rsidR="008461AB">
        <w:rPr>
          <w:lang w:val="en-US" w:eastAsia="ar-SA"/>
        </w:rPr>
        <w:t>6,164</w:t>
      </w:r>
      <w:r w:rsidR="00C83CEF" w:rsidRPr="000317C3">
        <w:rPr>
          <w:lang w:eastAsia="ar-SA"/>
        </w:rPr>
        <w:t xml:space="preserve"> </w:t>
      </w:r>
      <w:r w:rsidR="005953B7">
        <w:rPr>
          <w:lang w:val="en-US" w:eastAsia="ar-SA"/>
        </w:rPr>
        <w:t>person</w:t>
      </w:r>
      <w:r w:rsidR="00C83CEF" w:rsidRPr="000317C3">
        <w:rPr>
          <w:lang w:eastAsia="ar-SA"/>
        </w:rPr>
        <w:t>/km</w:t>
      </w:r>
      <w:r w:rsidR="00C83CEF" w:rsidRPr="007525BA">
        <w:rPr>
          <w:vertAlign w:val="superscript"/>
          <w:lang w:eastAsia="ar-SA"/>
        </w:rPr>
        <w:t>2</w:t>
      </w:r>
      <w:r w:rsidR="00C938BC">
        <w:rPr>
          <w:lang w:val="en-US" w:eastAsia="ar-SA"/>
        </w:rPr>
        <w:t xml:space="preserve"> </w:t>
      </w:r>
      <w:r w:rsidRPr="000317C3">
        <w:rPr>
          <w:lang w:eastAsia="ar-SA"/>
        </w:rPr>
        <w:t xml:space="preserve">in the West Bank, while </w:t>
      </w:r>
      <w:r w:rsidR="00C83CEF" w:rsidRPr="000317C3">
        <w:rPr>
          <w:lang w:eastAsia="ar-SA"/>
        </w:rPr>
        <w:t xml:space="preserve">it is </w:t>
      </w:r>
      <w:r w:rsidR="008461AB">
        <w:rPr>
          <w:lang w:val="en-US" w:eastAsia="ar-SA"/>
        </w:rPr>
        <w:t>13,789</w:t>
      </w:r>
      <w:r w:rsidR="00C83CEF" w:rsidRPr="000317C3">
        <w:rPr>
          <w:lang w:eastAsia="ar-SA"/>
        </w:rPr>
        <w:t xml:space="preserve"> </w:t>
      </w:r>
      <w:r w:rsidR="005953B7">
        <w:rPr>
          <w:lang w:val="en-US" w:eastAsia="ar-SA"/>
        </w:rPr>
        <w:t>person/</w:t>
      </w:r>
      <w:r w:rsidR="00C83CEF" w:rsidRPr="000317C3">
        <w:rPr>
          <w:lang w:eastAsia="ar-SA"/>
        </w:rPr>
        <w:t>km</w:t>
      </w:r>
      <w:r w:rsidR="00C83CEF" w:rsidRPr="007525BA">
        <w:rPr>
          <w:vertAlign w:val="superscript"/>
          <w:lang w:eastAsia="ar-SA"/>
        </w:rPr>
        <w:t>2</w:t>
      </w:r>
      <w:r w:rsidR="00C938BC">
        <w:rPr>
          <w:lang w:val="en-US" w:eastAsia="ar-SA"/>
        </w:rPr>
        <w:t xml:space="preserve"> </w:t>
      </w:r>
      <w:r w:rsidRPr="000317C3">
        <w:rPr>
          <w:lang w:eastAsia="ar-SA"/>
        </w:rPr>
        <w:t xml:space="preserve">in Gaza Strip. The general population density in Palestine is expected to reach 1,069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in 2030; </w:t>
      </w:r>
      <w:r w:rsidR="008461AB">
        <w:rPr>
          <w:lang w:val="en-US" w:eastAsia="ar-SA"/>
        </w:rPr>
        <w:t>665</w:t>
      </w:r>
      <w:r w:rsidRPr="000317C3">
        <w:rPr>
          <w:lang w:eastAsia="ar-SA"/>
        </w:rPr>
        <w:t xml:space="preserve">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in the West Bank, and 7,342 </w:t>
      </w:r>
      <w:r w:rsidR="005953B7">
        <w:rPr>
          <w:lang w:val="en-US" w:eastAsia="ar-SA"/>
        </w:rPr>
        <w:t>person/</w:t>
      </w:r>
      <w:r w:rsidRPr="000317C3">
        <w:rPr>
          <w:lang w:eastAsia="ar-SA"/>
        </w:rPr>
        <w:t>km</w:t>
      </w:r>
      <w:r w:rsidRPr="007525BA">
        <w:rPr>
          <w:vertAlign w:val="superscript"/>
          <w:lang w:eastAsia="ar-SA"/>
        </w:rPr>
        <w:t>2</w:t>
      </w:r>
      <w:r w:rsidRPr="000317C3">
        <w:rPr>
          <w:lang w:eastAsia="ar-SA"/>
        </w:rPr>
        <w:t xml:space="preserve"> in Gaza strip.</w:t>
      </w:r>
    </w:p>
    <w:p w:rsidR="00064487" w:rsidRPr="000317C3" w:rsidRDefault="00064487" w:rsidP="0047146B">
      <w:pPr>
        <w:jc w:val="both"/>
      </w:pPr>
    </w:p>
    <w:p w:rsidR="00064487" w:rsidRPr="000317C3" w:rsidRDefault="00064487" w:rsidP="00A94E2C">
      <w:pPr>
        <w:jc w:val="both"/>
        <w:rPr>
          <w:b/>
          <w:bCs/>
        </w:rPr>
      </w:pPr>
      <w:r w:rsidRPr="000317C3">
        <w:rPr>
          <w:b/>
          <w:bCs/>
        </w:rPr>
        <w:t xml:space="preserve">Indicators of </w:t>
      </w:r>
      <w:r w:rsidR="00A94E2C">
        <w:rPr>
          <w:b/>
          <w:bCs/>
          <w:lang w:val="en-US"/>
        </w:rPr>
        <w:t>a</w:t>
      </w:r>
      <w:r w:rsidRPr="000317C3">
        <w:rPr>
          <w:b/>
          <w:bCs/>
        </w:rPr>
        <w:t xml:space="preserve">dequate </w:t>
      </w:r>
      <w:r w:rsidR="00A94E2C">
        <w:rPr>
          <w:b/>
          <w:bCs/>
          <w:lang w:val="en-US"/>
        </w:rPr>
        <w:t>h</w:t>
      </w:r>
      <w:r w:rsidRPr="000317C3">
        <w:rPr>
          <w:b/>
          <w:bCs/>
        </w:rPr>
        <w:t>ousing in Palestine</w:t>
      </w:r>
    </w:p>
    <w:p w:rsidR="00064487" w:rsidRPr="000317C3" w:rsidRDefault="00D3003C" w:rsidP="00D3003C">
      <w:pPr>
        <w:pStyle w:val="ListParagraph"/>
        <w:numPr>
          <w:ilvl w:val="0"/>
          <w:numId w:val="3"/>
        </w:numPr>
        <w:bidi w:val="0"/>
        <w:ind w:left="284" w:hanging="284"/>
        <w:jc w:val="both"/>
        <w:rPr>
          <w:b/>
          <w:bCs/>
          <w:szCs w:val="24"/>
        </w:rPr>
      </w:pPr>
      <w:r>
        <w:rPr>
          <w:b/>
          <w:bCs/>
          <w:szCs w:val="24"/>
        </w:rPr>
        <w:t>C</w:t>
      </w:r>
      <w:r w:rsidRPr="000317C3">
        <w:rPr>
          <w:b/>
          <w:bCs/>
          <w:szCs w:val="24"/>
        </w:rPr>
        <w:t xml:space="preserve">ompleted </w:t>
      </w:r>
      <w:r w:rsidR="00064487" w:rsidRPr="000317C3">
        <w:rPr>
          <w:b/>
          <w:bCs/>
          <w:szCs w:val="24"/>
        </w:rPr>
        <w:t>buildings by year of construction</w:t>
      </w:r>
      <w:r w:rsidR="00D01BBA">
        <w:rPr>
          <w:rFonts w:hint="cs"/>
          <w:b/>
          <w:bCs/>
          <w:szCs w:val="24"/>
          <w:rtl/>
          <w:lang w:bidi="ar-JO"/>
        </w:rPr>
        <w:t xml:space="preserve"> </w:t>
      </w:r>
    </w:p>
    <w:p w:rsidR="00064487" w:rsidRPr="000317C3" w:rsidRDefault="00064487" w:rsidP="00D62127">
      <w:pPr>
        <w:jc w:val="lowKashida"/>
        <w:rPr>
          <w:lang w:eastAsia="ar-SA"/>
        </w:rPr>
      </w:pPr>
      <w:r w:rsidRPr="000317C3">
        <w:rPr>
          <w:lang w:eastAsia="ar-SA"/>
        </w:rPr>
        <w:t>About 30</w:t>
      </w:r>
      <w:r w:rsidR="008C29AE">
        <w:rPr>
          <w:lang w:val="en-US" w:eastAsia="ar-SA"/>
        </w:rPr>
        <w:t>.7</w:t>
      </w:r>
      <w:r w:rsidRPr="000317C3">
        <w:rPr>
          <w:lang w:eastAsia="ar-SA"/>
        </w:rPr>
        <w:t xml:space="preserve">% of the buildings in Palestine were built thirty years ago, and most buildings that were built before 1967 need reconstruction or </w:t>
      </w:r>
      <w:r w:rsidR="00D62127">
        <w:rPr>
          <w:lang w:val="en-US" w:eastAsia="ar-SA"/>
        </w:rPr>
        <w:t>restoration</w:t>
      </w:r>
      <w:r w:rsidRPr="000317C3">
        <w:rPr>
          <w:lang w:eastAsia="ar-SA"/>
        </w:rPr>
        <w:t>, including refugee camps. It is also impossible to provide housing to the size of the increasing demand</w:t>
      </w:r>
      <w:r w:rsidR="00FE35CD">
        <w:rPr>
          <w:lang w:val="en-US" w:eastAsia="ar-SA"/>
        </w:rPr>
        <w:t>,</w:t>
      </w:r>
      <w:r w:rsidRPr="000317C3">
        <w:rPr>
          <w:lang w:eastAsia="ar-SA"/>
        </w:rPr>
        <w:t xml:space="preserve"> except through the </w:t>
      </w:r>
      <w:r w:rsidR="00F9034A">
        <w:rPr>
          <w:lang w:val="en-US" w:eastAsia="ar-SA"/>
        </w:rPr>
        <w:t>conducting</w:t>
      </w:r>
      <w:r w:rsidRPr="000317C3">
        <w:rPr>
          <w:lang w:eastAsia="ar-SA"/>
        </w:rPr>
        <w:t xml:space="preserve"> housing projects under government supervision.</w:t>
      </w:r>
    </w:p>
    <w:p w:rsidR="00064487" w:rsidRPr="000317C3" w:rsidRDefault="00064487" w:rsidP="0047146B">
      <w:pPr>
        <w:jc w:val="both"/>
      </w:pPr>
    </w:p>
    <w:p w:rsidR="00064487" w:rsidRPr="000317C3" w:rsidRDefault="008835F1" w:rsidP="00380AD9">
      <w:pPr>
        <w:pStyle w:val="ListParagraph"/>
        <w:numPr>
          <w:ilvl w:val="0"/>
          <w:numId w:val="3"/>
        </w:numPr>
        <w:bidi w:val="0"/>
        <w:ind w:left="284" w:hanging="284"/>
        <w:jc w:val="both"/>
        <w:rPr>
          <w:b/>
          <w:bCs/>
          <w:szCs w:val="24"/>
        </w:rPr>
      </w:pPr>
      <w:r>
        <w:rPr>
          <w:b/>
          <w:bCs/>
          <w:szCs w:val="24"/>
        </w:rPr>
        <w:t>M</w:t>
      </w:r>
      <w:r w:rsidR="00064487" w:rsidRPr="000317C3">
        <w:rPr>
          <w:b/>
          <w:bCs/>
          <w:szCs w:val="24"/>
        </w:rPr>
        <w:t xml:space="preserve">aterials </w:t>
      </w:r>
      <w:r w:rsidR="0064718D">
        <w:rPr>
          <w:b/>
          <w:bCs/>
          <w:szCs w:val="24"/>
        </w:rPr>
        <w:t>of</w:t>
      </w:r>
      <w:r w:rsidR="00064487" w:rsidRPr="000317C3">
        <w:rPr>
          <w:b/>
          <w:bCs/>
          <w:szCs w:val="24"/>
        </w:rPr>
        <w:t xml:space="preserve"> </w:t>
      </w:r>
      <w:bookmarkStart w:id="3" w:name="_Hlk39587683"/>
      <w:r w:rsidR="00064487" w:rsidRPr="000317C3">
        <w:rPr>
          <w:b/>
          <w:bCs/>
          <w:szCs w:val="24"/>
        </w:rPr>
        <w:t xml:space="preserve">external </w:t>
      </w:r>
      <w:bookmarkEnd w:id="3"/>
      <w:r w:rsidR="00064487" w:rsidRPr="000317C3">
        <w:rPr>
          <w:b/>
          <w:bCs/>
          <w:szCs w:val="24"/>
        </w:rPr>
        <w:t>walls</w:t>
      </w:r>
    </w:p>
    <w:p w:rsidR="00064487" w:rsidRPr="000317C3" w:rsidRDefault="00064487" w:rsidP="00E34AE2">
      <w:pPr>
        <w:jc w:val="lowKashida"/>
        <w:rPr>
          <w:lang w:eastAsia="ar-SA"/>
        </w:rPr>
      </w:pPr>
      <w:r w:rsidRPr="000317C3">
        <w:rPr>
          <w:lang w:eastAsia="ar-SA"/>
        </w:rPr>
        <w:t xml:space="preserve">The </w:t>
      </w:r>
      <w:r w:rsidR="00461E20">
        <w:rPr>
          <w:lang w:val="en-US" w:eastAsia="ar-SA"/>
        </w:rPr>
        <w:t>cement</w:t>
      </w:r>
      <w:r w:rsidR="00461E20" w:rsidRPr="000317C3">
        <w:rPr>
          <w:lang w:eastAsia="ar-SA"/>
        </w:rPr>
        <w:t xml:space="preserve"> </w:t>
      </w:r>
      <w:r w:rsidRPr="000317C3">
        <w:rPr>
          <w:lang w:eastAsia="ar-SA"/>
        </w:rPr>
        <w:t xml:space="preserve">block is the predominant basic material for building the external walls of buildings. This type of block in Palestine constitutes about 57.1% of the total building materials used, </w:t>
      </w:r>
      <w:r w:rsidR="00380AD9">
        <w:rPr>
          <w:lang w:val="en-US" w:eastAsia="ar-SA"/>
        </w:rPr>
        <w:t>cleaned stone</w:t>
      </w:r>
      <w:r w:rsidRPr="000317C3">
        <w:rPr>
          <w:lang w:eastAsia="ar-SA"/>
        </w:rPr>
        <w:t xml:space="preserve"> come </w:t>
      </w:r>
      <w:r w:rsidR="00E34AE2">
        <w:rPr>
          <w:lang w:val="en-US" w:eastAsia="ar-SA"/>
        </w:rPr>
        <w:t xml:space="preserve">in the </w:t>
      </w:r>
      <w:r w:rsidR="00E34AE2" w:rsidRPr="000317C3">
        <w:rPr>
          <w:lang w:eastAsia="ar-SA"/>
        </w:rPr>
        <w:t>second</w:t>
      </w:r>
      <w:r w:rsidR="00E34AE2">
        <w:rPr>
          <w:lang w:val="en-US" w:eastAsia="ar-SA"/>
        </w:rPr>
        <w:t xml:space="preserve"> </w:t>
      </w:r>
      <w:r w:rsidR="0091693A">
        <w:rPr>
          <w:lang w:val="en-US" w:eastAsia="ar-SA"/>
        </w:rPr>
        <w:t>rank</w:t>
      </w:r>
      <w:r w:rsidRPr="000317C3">
        <w:rPr>
          <w:lang w:eastAsia="ar-SA"/>
        </w:rPr>
        <w:t xml:space="preserve"> with a percentage of 24.1%, and the remaining 18.8% are for other materials</w:t>
      </w:r>
      <w:r w:rsidR="00380AD9">
        <w:rPr>
          <w:lang w:val="en-US" w:eastAsia="ar-SA"/>
        </w:rPr>
        <w:t xml:space="preserve"> </w:t>
      </w:r>
      <w:r w:rsidR="00A446D4">
        <w:rPr>
          <w:lang w:val="en-US" w:eastAsia="ar-SA"/>
        </w:rPr>
        <w:t>of external w</w:t>
      </w:r>
      <w:r w:rsidR="00380AD9">
        <w:rPr>
          <w:lang w:val="en-US" w:eastAsia="ar-SA"/>
        </w:rPr>
        <w:t>alls</w:t>
      </w:r>
      <w:r w:rsidRPr="000317C3">
        <w:rPr>
          <w:lang w:eastAsia="ar-SA"/>
        </w:rPr>
        <w:t xml:space="preserve">. </w:t>
      </w:r>
      <w:r w:rsidR="00AF26B2">
        <w:rPr>
          <w:lang w:val="en-US" w:eastAsia="ar-SA"/>
        </w:rPr>
        <w:t xml:space="preserve">For that </w:t>
      </w:r>
      <w:r w:rsidRPr="000317C3">
        <w:rPr>
          <w:lang w:eastAsia="ar-SA"/>
        </w:rPr>
        <w:t>, the indicator of construction materials used in Palestine is considered very good in both the West Bank and Gaza Strip.</w:t>
      </w:r>
    </w:p>
    <w:p w:rsidR="00064487" w:rsidRPr="000317C3" w:rsidRDefault="00064487" w:rsidP="0047146B">
      <w:pPr>
        <w:jc w:val="both"/>
      </w:pPr>
    </w:p>
    <w:p w:rsidR="007C30ED" w:rsidRPr="007C30ED" w:rsidRDefault="007C30ED" w:rsidP="008835F1">
      <w:pPr>
        <w:pStyle w:val="ListParagraph"/>
        <w:numPr>
          <w:ilvl w:val="0"/>
          <w:numId w:val="3"/>
        </w:numPr>
        <w:bidi w:val="0"/>
        <w:ind w:left="284" w:hanging="284"/>
        <w:jc w:val="both"/>
        <w:rPr>
          <w:b/>
          <w:bCs/>
          <w:szCs w:val="24"/>
        </w:rPr>
      </w:pPr>
      <w:r w:rsidRPr="007C30ED">
        <w:rPr>
          <w:b/>
          <w:bCs/>
          <w:szCs w:val="24"/>
        </w:rPr>
        <w:t xml:space="preserve">Buildings and </w:t>
      </w:r>
      <w:r w:rsidR="00A94E2C">
        <w:rPr>
          <w:b/>
          <w:bCs/>
          <w:szCs w:val="24"/>
        </w:rPr>
        <w:t>h</w:t>
      </w:r>
      <w:r w:rsidRPr="007C30ED">
        <w:rPr>
          <w:b/>
          <w:bCs/>
          <w:szCs w:val="24"/>
        </w:rPr>
        <w:t xml:space="preserve">ousing </w:t>
      </w:r>
      <w:r w:rsidR="00A94E2C">
        <w:rPr>
          <w:b/>
          <w:bCs/>
          <w:szCs w:val="24"/>
        </w:rPr>
        <w:t>u</w:t>
      </w:r>
      <w:r w:rsidRPr="007C30ED">
        <w:rPr>
          <w:b/>
          <w:bCs/>
          <w:szCs w:val="24"/>
        </w:rPr>
        <w:t xml:space="preserve">nits </w:t>
      </w:r>
      <w:r w:rsidR="00A94E2C">
        <w:rPr>
          <w:b/>
          <w:bCs/>
          <w:szCs w:val="24"/>
        </w:rPr>
        <w:t>s</w:t>
      </w:r>
      <w:r w:rsidRPr="007C30ED">
        <w:rPr>
          <w:b/>
          <w:bCs/>
          <w:szCs w:val="24"/>
        </w:rPr>
        <w:t xml:space="preserve">tatus </w:t>
      </w:r>
    </w:p>
    <w:p w:rsidR="007C30ED" w:rsidRDefault="00627F1F" w:rsidP="005172FB">
      <w:pPr>
        <w:jc w:val="lowKashida"/>
        <w:rPr>
          <w:lang w:eastAsia="ar-SA"/>
        </w:rPr>
      </w:pPr>
      <w:r>
        <w:rPr>
          <w:lang w:val="en-US" w:eastAsia="ar-SA"/>
        </w:rPr>
        <w:t>I</w:t>
      </w:r>
      <w:r>
        <w:rPr>
          <w:lang w:eastAsia="ar-SA"/>
        </w:rPr>
        <w:t xml:space="preserve">n general </w:t>
      </w:r>
      <w:r w:rsidR="007C30ED">
        <w:rPr>
          <w:lang w:eastAsia="ar-SA"/>
        </w:rPr>
        <w:t>the status</w:t>
      </w:r>
      <w:r w:rsidR="00A94E2C">
        <w:rPr>
          <w:lang w:eastAsia="ar-SA"/>
        </w:rPr>
        <w:t xml:space="preserve"> of buildings in Palestine is,</w:t>
      </w:r>
      <w:r w:rsidR="007C30ED">
        <w:rPr>
          <w:lang w:eastAsia="ar-SA"/>
        </w:rPr>
        <w:t xml:space="preserve"> good with the exception of refu</w:t>
      </w:r>
      <w:r w:rsidR="00A94E2C">
        <w:rPr>
          <w:lang w:eastAsia="ar-SA"/>
        </w:rPr>
        <w:t>gee camps, old and slum areas,</w:t>
      </w:r>
      <w:r w:rsidR="007C30ED">
        <w:rPr>
          <w:lang w:eastAsia="ar-SA"/>
        </w:rPr>
        <w:t xml:space="preserve"> which are of poor and medium standard, and few of them are of excellent condition. Many of the buildings in Palestine are </w:t>
      </w:r>
      <w:r w:rsidR="005172FB">
        <w:rPr>
          <w:lang w:val="en-US" w:eastAsia="ar-SA"/>
        </w:rPr>
        <w:t>not constructed</w:t>
      </w:r>
      <w:r w:rsidR="007C30ED">
        <w:rPr>
          <w:lang w:eastAsia="ar-SA"/>
        </w:rPr>
        <w:t xml:space="preserve"> from the outside, particularly in Gaza Strip, which led to visual pollution. There is no doubt that the residents of deteriorated urban areas live in bad housing conditions and that is unsuitable for living a decent life, especially those residing by acquisition due to forcible migrations imposed on the Palestinian people.</w:t>
      </w:r>
    </w:p>
    <w:p w:rsidR="00064487" w:rsidRPr="000317C3" w:rsidRDefault="00064487" w:rsidP="0047146B">
      <w:pPr>
        <w:jc w:val="both"/>
      </w:pPr>
    </w:p>
    <w:p w:rsidR="00064487" w:rsidRPr="000317C3" w:rsidRDefault="00064487" w:rsidP="008835F1">
      <w:pPr>
        <w:pStyle w:val="ListParagraph"/>
        <w:numPr>
          <w:ilvl w:val="0"/>
          <w:numId w:val="3"/>
        </w:numPr>
        <w:bidi w:val="0"/>
        <w:ind w:left="284" w:hanging="284"/>
        <w:jc w:val="both"/>
        <w:rPr>
          <w:b/>
          <w:bCs/>
          <w:szCs w:val="24"/>
        </w:rPr>
      </w:pPr>
      <w:r w:rsidRPr="000317C3">
        <w:rPr>
          <w:b/>
          <w:bCs/>
          <w:szCs w:val="24"/>
        </w:rPr>
        <w:t>Heights of completed building</w:t>
      </w:r>
      <w:r w:rsidR="006E284F">
        <w:rPr>
          <w:b/>
          <w:bCs/>
          <w:szCs w:val="24"/>
        </w:rPr>
        <w:t>s</w:t>
      </w:r>
      <w:r w:rsidRPr="000317C3">
        <w:rPr>
          <w:b/>
          <w:bCs/>
          <w:szCs w:val="24"/>
        </w:rPr>
        <w:t xml:space="preserve"> </w:t>
      </w:r>
    </w:p>
    <w:p w:rsidR="00064487" w:rsidRPr="000317C3" w:rsidRDefault="006E284F" w:rsidP="001024E6">
      <w:pPr>
        <w:jc w:val="lowKashida"/>
        <w:rPr>
          <w:lang w:eastAsia="ar-SA"/>
        </w:rPr>
      </w:pPr>
      <w:r>
        <w:rPr>
          <w:lang w:val="en-US" w:eastAsia="ar-SA"/>
        </w:rPr>
        <w:t>T</w:t>
      </w:r>
      <w:r w:rsidR="00064487" w:rsidRPr="000317C3">
        <w:rPr>
          <w:lang w:eastAsia="ar-SA"/>
        </w:rPr>
        <w:t>he distinctive characteristic of the completed buildings of Palestine is the low-rise buildings, as the one-floor buildings make up about 37.</w:t>
      </w:r>
      <w:r w:rsidR="001024E6">
        <w:rPr>
          <w:lang w:val="en-US" w:eastAsia="ar-SA"/>
        </w:rPr>
        <w:t>7</w:t>
      </w:r>
      <w:r w:rsidR="00064487" w:rsidRPr="000317C3">
        <w:rPr>
          <w:lang w:eastAsia="ar-SA"/>
        </w:rPr>
        <w:t>% of the total buildings in Palestine, while the two-floor buildings account for about 38.6%. This means that the one-floor and two-floor buildings constitute approximately 76.</w:t>
      </w:r>
      <w:r w:rsidR="001024E6">
        <w:rPr>
          <w:lang w:val="en-US" w:eastAsia="ar-SA"/>
        </w:rPr>
        <w:t>3</w:t>
      </w:r>
      <w:r w:rsidR="00064487" w:rsidRPr="000317C3">
        <w:rPr>
          <w:lang w:eastAsia="ar-SA"/>
        </w:rPr>
        <w:t>% of the total buildings. The remaining percentage</w:t>
      </w:r>
      <w:r w:rsidR="008C29AE">
        <w:rPr>
          <w:lang w:val="en-US" w:eastAsia="ar-SA"/>
        </w:rPr>
        <w:t xml:space="preserve"> (23.</w:t>
      </w:r>
      <w:r w:rsidR="001024E6">
        <w:rPr>
          <w:lang w:val="en-US" w:eastAsia="ar-SA"/>
        </w:rPr>
        <w:t>4</w:t>
      </w:r>
      <w:r w:rsidR="008C29AE">
        <w:rPr>
          <w:lang w:val="en-US" w:eastAsia="ar-SA"/>
        </w:rPr>
        <w:t>%)</w:t>
      </w:r>
      <w:r w:rsidR="00064487" w:rsidRPr="000317C3">
        <w:rPr>
          <w:lang w:eastAsia="ar-SA"/>
        </w:rPr>
        <w:t xml:space="preserve"> is for the buildings that consist of three floors or more</w:t>
      </w:r>
      <w:r w:rsidR="00DC033A">
        <w:rPr>
          <w:lang w:val="en-US" w:eastAsia="ar-SA"/>
        </w:rPr>
        <w:t>.</w:t>
      </w:r>
      <w:r w:rsidR="00DC033A" w:rsidRPr="000317C3">
        <w:rPr>
          <w:lang w:eastAsia="ar-SA"/>
        </w:rPr>
        <w:t xml:space="preserve"> </w:t>
      </w:r>
      <w:r w:rsidR="00220A82">
        <w:rPr>
          <w:lang w:val="en-US" w:eastAsia="ar-SA"/>
        </w:rPr>
        <w:t>So</w:t>
      </w:r>
      <w:r w:rsidR="00064487" w:rsidRPr="000317C3">
        <w:rPr>
          <w:lang w:eastAsia="ar-SA"/>
        </w:rPr>
        <w:t xml:space="preserve"> that the multi-floor </w:t>
      </w:r>
      <w:r w:rsidR="00064487" w:rsidRPr="000317C3">
        <w:rPr>
          <w:lang w:eastAsia="ar-SA"/>
        </w:rPr>
        <w:lastRenderedPageBreak/>
        <w:t>buildings should become the dominant feature of buildings in Palestine due to the limited land areas and the high price of land.</w:t>
      </w:r>
    </w:p>
    <w:p w:rsidR="00064487" w:rsidRPr="000317C3" w:rsidRDefault="00064487" w:rsidP="0047146B">
      <w:pPr>
        <w:jc w:val="both"/>
      </w:pPr>
    </w:p>
    <w:p w:rsidR="00064487" w:rsidRPr="000317C3" w:rsidRDefault="00F70DA4" w:rsidP="008835F1">
      <w:pPr>
        <w:pStyle w:val="ListParagraph"/>
        <w:numPr>
          <w:ilvl w:val="0"/>
          <w:numId w:val="3"/>
        </w:numPr>
        <w:bidi w:val="0"/>
        <w:ind w:left="284" w:hanging="284"/>
        <w:jc w:val="both"/>
        <w:rPr>
          <w:b/>
          <w:bCs/>
          <w:szCs w:val="24"/>
        </w:rPr>
      </w:pPr>
      <w:r w:rsidRPr="00F70DA4">
        <w:rPr>
          <w:b/>
          <w:bCs/>
          <w:szCs w:val="24"/>
        </w:rPr>
        <w:t>Occupied</w:t>
      </w:r>
      <w:r w:rsidR="00A94E2C">
        <w:rPr>
          <w:b/>
          <w:bCs/>
          <w:szCs w:val="24"/>
        </w:rPr>
        <w:t xml:space="preserve"> </w:t>
      </w:r>
      <w:r w:rsidR="00064487" w:rsidRPr="000317C3">
        <w:rPr>
          <w:b/>
          <w:bCs/>
          <w:szCs w:val="24"/>
        </w:rPr>
        <w:t xml:space="preserve">housing units </w:t>
      </w:r>
    </w:p>
    <w:p w:rsidR="00D41EB3" w:rsidRDefault="00064487" w:rsidP="0091693A">
      <w:pPr>
        <w:jc w:val="lowKashida"/>
        <w:rPr>
          <w:lang w:val="en-US" w:eastAsia="ar-SA"/>
        </w:rPr>
      </w:pPr>
      <w:r w:rsidRPr="000317C3">
        <w:rPr>
          <w:lang w:eastAsia="ar-SA"/>
        </w:rPr>
        <w:t xml:space="preserve">The number of </w:t>
      </w:r>
      <w:r w:rsidR="00F70DA4">
        <w:rPr>
          <w:lang w:val="en-US" w:eastAsia="ar-SA"/>
        </w:rPr>
        <w:t>o</w:t>
      </w:r>
      <w:r w:rsidR="00F70DA4" w:rsidRPr="00F70DA4">
        <w:rPr>
          <w:lang w:eastAsia="ar-SA"/>
        </w:rPr>
        <w:t>ccupied</w:t>
      </w:r>
      <w:r w:rsidRPr="000317C3">
        <w:rPr>
          <w:lang w:eastAsia="ar-SA"/>
        </w:rPr>
        <w:t xml:space="preserve"> housing units in Palestine, according to census data 2017, amounted to 929,221 housing units, of which 594,511</w:t>
      </w:r>
      <w:r w:rsidR="0091693A">
        <w:rPr>
          <w:lang w:val="en-US" w:eastAsia="ar-SA"/>
        </w:rPr>
        <w:t xml:space="preserve"> housing units </w:t>
      </w:r>
      <w:r w:rsidRPr="000317C3">
        <w:rPr>
          <w:lang w:eastAsia="ar-SA"/>
        </w:rPr>
        <w:t>(64</w:t>
      </w:r>
      <w:r w:rsidR="008461AB">
        <w:rPr>
          <w:lang w:val="en-US" w:eastAsia="ar-SA"/>
        </w:rPr>
        <w:t>.</w:t>
      </w:r>
      <w:r w:rsidR="008C29AE">
        <w:rPr>
          <w:lang w:val="en-US" w:eastAsia="ar-SA"/>
        </w:rPr>
        <w:t>1</w:t>
      </w:r>
      <w:r w:rsidRPr="000317C3">
        <w:rPr>
          <w:lang w:eastAsia="ar-SA"/>
        </w:rPr>
        <w:t>%) in the West Bank</w:t>
      </w:r>
      <w:r w:rsidR="0091693A">
        <w:rPr>
          <w:lang w:val="en-US" w:eastAsia="ar-SA"/>
        </w:rPr>
        <w:t>,</w:t>
      </w:r>
      <w:r w:rsidRPr="000317C3">
        <w:rPr>
          <w:lang w:eastAsia="ar-SA"/>
        </w:rPr>
        <w:t xml:space="preserve"> and 334,710 housing units (</w:t>
      </w:r>
      <w:r w:rsidR="008461AB">
        <w:rPr>
          <w:lang w:val="en-US" w:eastAsia="ar-SA"/>
        </w:rPr>
        <w:t>35.9</w:t>
      </w:r>
      <w:r w:rsidRPr="000317C3">
        <w:rPr>
          <w:lang w:eastAsia="ar-SA"/>
        </w:rPr>
        <w:t xml:space="preserve">%) in Gaza Strip. When comparing the increase in the number of </w:t>
      </w:r>
      <w:r w:rsidR="00F70DA4">
        <w:rPr>
          <w:lang w:val="en-US" w:eastAsia="ar-SA"/>
        </w:rPr>
        <w:t>o</w:t>
      </w:r>
      <w:r w:rsidR="00F70DA4" w:rsidRPr="00F70DA4">
        <w:rPr>
          <w:lang w:eastAsia="ar-SA"/>
        </w:rPr>
        <w:t>ccupied</w:t>
      </w:r>
      <w:r w:rsidRPr="000317C3">
        <w:rPr>
          <w:lang w:eastAsia="ar-SA"/>
        </w:rPr>
        <w:t xml:space="preserve"> housing unites between the 2007 and 2017 censuses, it is found that the percentage</w:t>
      </w:r>
      <w:r w:rsidR="0091693A">
        <w:rPr>
          <w:lang w:val="en-US" w:eastAsia="ar-SA"/>
        </w:rPr>
        <w:t xml:space="preserve"> of change</w:t>
      </w:r>
      <w:r w:rsidRPr="000317C3">
        <w:rPr>
          <w:lang w:eastAsia="ar-SA"/>
        </w:rPr>
        <w:t xml:space="preserve"> in the West Bank, during the ten years between the two censuses, is about two points lower, while in Gaza Strip, the percentage of increase, during the ten years between the two censuses, is about two points higher</w:t>
      </w:r>
    </w:p>
    <w:p w:rsidR="00064487" w:rsidRPr="000317C3" w:rsidRDefault="00064487" w:rsidP="00F70DA4">
      <w:pPr>
        <w:jc w:val="lowKashida"/>
        <w:rPr>
          <w:lang w:eastAsia="ar-SA"/>
        </w:rPr>
      </w:pPr>
      <w:r w:rsidRPr="000317C3">
        <w:rPr>
          <w:lang w:eastAsia="ar-SA"/>
        </w:rPr>
        <w:t xml:space="preserve">. There is a need to direct housing projects towards governorates </w:t>
      </w:r>
      <w:r w:rsidR="00DD0DF1">
        <w:rPr>
          <w:lang w:val="en-US" w:eastAsia="ar-SA"/>
        </w:rPr>
        <w:t>th</w:t>
      </w:r>
      <w:r w:rsidR="00DB45F3">
        <w:rPr>
          <w:lang w:val="en-US" w:eastAsia="ar-SA"/>
        </w:rPr>
        <w:t>a</w:t>
      </w:r>
      <w:r w:rsidR="00DD0DF1">
        <w:rPr>
          <w:lang w:val="en-US" w:eastAsia="ar-SA"/>
        </w:rPr>
        <w:t xml:space="preserve">t </w:t>
      </w:r>
      <w:r w:rsidR="00DD0DF1" w:rsidRPr="000317C3">
        <w:rPr>
          <w:lang w:eastAsia="ar-SA"/>
        </w:rPr>
        <w:t>hav</w:t>
      </w:r>
      <w:r w:rsidR="00DD0DF1">
        <w:rPr>
          <w:lang w:val="en-US" w:eastAsia="ar-SA"/>
        </w:rPr>
        <w:t>e</w:t>
      </w:r>
      <w:r w:rsidR="00DD0DF1" w:rsidRPr="000317C3">
        <w:rPr>
          <w:lang w:eastAsia="ar-SA"/>
        </w:rPr>
        <w:t xml:space="preserve"> </w:t>
      </w:r>
      <w:r w:rsidRPr="000317C3">
        <w:rPr>
          <w:lang w:eastAsia="ar-SA"/>
        </w:rPr>
        <w:t>fewer housing units.</w:t>
      </w:r>
    </w:p>
    <w:p w:rsidR="00064487" w:rsidRPr="000317C3" w:rsidRDefault="00064487" w:rsidP="0047146B">
      <w:pPr>
        <w:jc w:val="both"/>
      </w:pPr>
    </w:p>
    <w:p w:rsidR="00064487" w:rsidRPr="000317C3" w:rsidRDefault="00F35105" w:rsidP="0047146B">
      <w:pPr>
        <w:pStyle w:val="ListParagraph"/>
        <w:numPr>
          <w:ilvl w:val="0"/>
          <w:numId w:val="3"/>
        </w:numPr>
        <w:bidi w:val="0"/>
        <w:ind w:left="284" w:hanging="284"/>
        <w:jc w:val="both"/>
        <w:rPr>
          <w:b/>
          <w:bCs/>
          <w:szCs w:val="24"/>
        </w:rPr>
      </w:pPr>
      <w:r>
        <w:rPr>
          <w:b/>
          <w:bCs/>
          <w:szCs w:val="24"/>
        </w:rPr>
        <w:t>C</w:t>
      </w:r>
      <w:r w:rsidR="00064487" w:rsidRPr="000317C3">
        <w:rPr>
          <w:b/>
          <w:bCs/>
          <w:szCs w:val="24"/>
        </w:rPr>
        <w:t>ompleted housing units productivity percentage to household structure</w:t>
      </w:r>
    </w:p>
    <w:p w:rsidR="00064487" w:rsidRPr="000317C3" w:rsidRDefault="00064487" w:rsidP="00E34AE2">
      <w:pPr>
        <w:jc w:val="lowKashida"/>
        <w:rPr>
          <w:lang w:eastAsia="ar-SA"/>
        </w:rPr>
      </w:pPr>
      <w:r w:rsidRPr="000317C3">
        <w:rPr>
          <w:lang w:eastAsia="ar-SA"/>
        </w:rPr>
        <w:t xml:space="preserve">The productivity percentage of completed housing units to </w:t>
      </w:r>
      <w:bookmarkStart w:id="4" w:name="_Hlk39583647"/>
      <w:r w:rsidRPr="000317C3">
        <w:rPr>
          <w:lang w:eastAsia="ar-SA"/>
        </w:rPr>
        <w:t xml:space="preserve">household </w:t>
      </w:r>
      <w:bookmarkEnd w:id="4"/>
      <w:r w:rsidRPr="000317C3">
        <w:rPr>
          <w:lang w:eastAsia="ar-SA"/>
        </w:rPr>
        <w:t>structure in the West Bank and Gaza Strip amounted to 1.</w:t>
      </w:r>
      <w:r w:rsidR="008461AB">
        <w:rPr>
          <w:lang w:val="en-US" w:eastAsia="ar-SA"/>
        </w:rPr>
        <w:t>3</w:t>
      </w:r>
      <w:r w:rsidRPr="000317C3">
        <w:rPr>
          <w:lang w:eastAsia="ar-SA"/>
        </w:rPr>
        <w:t xml:space="preserve"> housing unit</w:t>
      </w:r>
      <w:r w:rsidR="00041316">
        <w:rPr>
          <w:lang w:val="en-US" w:eastAsia="ar-SA"/>
        </w:rPr>
        <w:t>/</w:t>
      </w:r>
      <w:r w:rsidR="00041316" w:rsidRPr="00041316">
        <w:rPr>
          <w:lang w:eastAsia="ar-SA"/>
        </w:rPr>
        <w:t xml:space="preserve"> </w:t>
      </w:r>
      <w:r w:rsidR="00041316" w:rsidRPr="000317C3">
        <w:rPr>
          <w:lang w:eastAsia="ar-SA"/>
        </w:rPr>
        <w:t>one household</w:t>
      </w:r>
      <w:r w:rsidRPr="000317C3">
        <w:rPr>
          <w:lang w:eastAsia="ar-SA"/>
        </w:rPr>
        <w:t xml:space="preserve">. This percentage is not </w:t>
      </w:r>
      <w:r w:rsidR="00041316">
        <w:rPr>
          <w:lang w:val="en-US" w:eastAsia="ar-SA"/>
        </w:rPr>
        <w:t>valuable</w:t>
      </w:r>
      <w:r w:rsidRPr="000317C3">
        <w:rPr>
          <w:lang w:eastAsia="ar-SA"/>
        </w:rPr>
        <w:t xml:space="preserve">, but these numbers are </w:t>
      </w:r>
      <w:r w:rsidR="00041316">
        <w:rPr>
          <w:lang w:val="en-US" w:eastAsia="ar-SA"/>
        </w:rPr>
        <w:t>overstated</w:t>
      </w:r>
      <w:r w:rsidR="00970D47">
        <w:rPr>
          <w:lang w:val="en-US" w:eastAsia="ar-SA"/>
        </w:rPr>
        <w:t>.</w:t>
      </w:r>
      <w:r w:rsidRPr="000317C3">
        <w:rPr>
          <w:lang w:eastAsia="ar-SA"/>
        </w:rPr>
        <w:t xml:space="preserve"> </w:t>
      </w:r>
      <w:r w:rsidR="00970D47">
        <w:rPr>
          <w:lang w:val="en-US" w:eastAsia="ar-SA"/>
        </w:rPr>
        <w:t>However,</w:t>
      </w:r>
      <w:r w:rsidR="00970D47" w:rsidRPr="000317C3">
        <w:rPr>
          <w:lang w:eastAsia="ar-SA"/>
        </w:rPr>
        <w:t xml:space="preserve"> </w:t>
      </w:r>
      <w:r w:rsidRPr="000317C3">
        <w:rPr>
          <w:lang w:eastAsia="ar-SA"/>
        </w:rPr>
        <w:t>the problem is not in the number of households in the housing unit, but in the type of household, in addition to the number of household members</w:t>
      </w:r>
      <w:r w:rsidR="00970D47">
        <w:rPr>
          <w:lang w:val="en-US" w:eastAsia="ar-SA"/>
        </w:rPr>
        <w:t xml:space="preserve"> </w:t>
      </w:r>
      <w:r w:rsidR="00970D47" w:rsidRPr="000317C3">
        <w:rPr>
          <w:lang w:eastAsia="ar-SA"/>
        </w:rPr>
        <w:t>(household size)</w:t>
      </w:r>
      <w:r w:rsidRPr="000317C3">
        <w:rPr>
          <w:lang w:eastAsia="ar-SA"/>
        </w:rPr>
        <w:t>.</w:t>
      </w:r>
    </w:p>
    <w:p w:rsidR="00064487" w:rsidRPr="000317C3" w:rsidRDefault="00064487" w:rsidP="0047146B">
      <w:pPr>
        <w:jc w:val="both"/>
      </w:pPr>
    </w:p>
    <w:p w:rsidR="00064487" w:rsidRPr="000317C3" w:rsidRDefault="00F35105" w:rsidP="00A94E2C">
      <w:pPr>
        <w:pStyle w:val="ListParagraph"/>
        <w:numPr>
          <w:ilvl w:val="0"/>
          <w:numId w:val="3"/>
        </w:numPr>
        <w:bidi w:val="0"/>
        <w:ind w:left="284" w:hanging="284"/>
        <w:jc w:val="both"/>
        <w:rPr>
          <w:b/>
          <w:bCs/>
          <w:szCs w:val="24"/>
        </w:rPr>
      </w:pPr>
      <w:r>
        <w:rPr>
          <w:b/>
          <w:bCs/>
          <w:szCs w:val="24"/>
        </w:rPr>
        <w:t>O</w:t>
      </w:r>
      <w:r w:rsidR="00882CD8" w:rsidRPr="00F70DA4">
        <w:rPr>
          <w:b/>
          <w:bCs/>
          <w:szCs w:val="24"/>
        </w:rPr>
        <w:t>ccupied</w:t>
      </w:r>
      <w:r w:rsidR="00064487" w:rsidRPr="000317C3">
        <w:rPr>
          <w:b/>
          <w:bCs/>
          <w:szCs w:val="24"/>
        </w:rPr>
        <w:t xml:space="preserve"> housing units within the boundaries of administrative area</w:t>
      </w:r>
    </w:p>
    <w:p w:rsidR="00064487" w:rsidRDefault="00064487" w:rsidP="00882CD8">
      <w:pPr>
        <w:jc w:val="lowKashida"/>
        <w:rPr>
          <w:lang w:val="en-US" w:eastAsia="ar-SA"/>
        </w:rPr>
      </w:pPr>
      <w:r w:rsidRPr="000317C3">
        <w:rPr>
          <w:lang w:eastAsia="ar-SA"/>
        </w:rPr>
        <w:t xml:space="preserve">The results of the census 2017 show that the number of </w:t>
      </w:r>
      <w:r w:rsidR="00882CD8">
        <w:rPr>
          <w:lang w:val="en-US" w:eastAsia="ar-SA"/>
        </w:rPr>
        <w:t>o</w:t>
      </w:r>
      <w:r w:rsidR="00882CD8" w:rsidRPr="00F70DA4">
        <w:rPr>
          <w:lang w:eastAsia="ar-SA"/>
        </w:rPr>
        <w:t>ccupied</w:t>
      </w:r>
      <w:r w:rsidRPr="000317C3">
        <w:rPr>
          <w:lang w:eastAsia="ar-SA"/>
        </w:rPr>
        <w:t xml:space="preserve"> housing unit</w:t>
      </w:r>
      <w:r w:rsidR="003F5323">
        <w:rPr>
          <w:lang w:val="en-US" w:eastAsia="ar-SA"/>
        </w:rPr>
        <w:t>s</w:t>
      </w:r>
      <w:r w:rsidRPr="000317C3">
        <w:rPr>
          <w:lang w:eastAsia="ar-SA"/>
        </w:rPr>
        <w:t xml:space="preserve"> per square kilometer in Palestine is (154.2 housing units/km</w:t>
      </w:r>
      <w:r w:rsidRPr="007525BA">
        <w:rPr>
          <w:vertAlign w:val="superscript"/>
          <w:lang w:eastAsia="ar-SA"/>
        </w:rPr>
        <w:t>2</w:t>
      </w:r>
      <w:r w:rsidRPr="000317C3">
        <w:rPr>
          <w:lang w:eastAsia="ar-SA"/>
        </w:rPr>
        <w:t xml:space="preserve">). </w:t>
      </w:r>
      <w:r w:rsidR="008B3FED">
        <w:rPr>
          <w:lang w:val="en-US" w:eastAsia="ar-SA"/>
        </w:rPr>
        <w:t>I</w:t>
      </w:r>
      <w:r w:rsidR="008B3FED" w:rsidRPr="000317C3">
        <w:rPr>
          <w:lang w:eastAsia="ar-SA"/>
        </w:rPr>
        <w:t>n Gaza Strip</w:t>
      </w:r>
      <w:r w:rsidR="008B3FED">
        <w:rPr>
          <w:lang w:val="en-US" w:eastAsia="ar-SA"/>
        </w:rPr>
        <w:t>,</w:t>
      </w:r>
      <w:r w:rsidR="008B3FED" w:rsidRPr="000317C3">
        <w:rPr>
          <w:lang w:eastAsia="ar-SA"/>
        </w:rPr>
        <w:t xml:space="preserve"> </w:t>
      </w:r>
      <w:r w:rsidR="008B3FED">
        <w:rPr>
          <w:lang w:val="en-US" w:eastAsia="ar-SA"/>
        </w:rPr>
        <w:t>this</w:t>
      </w:r>
      <w:r w:rsidR="008B3FED" w:rsidRPr="000317C3">
        <w:rPr>
          <w:lang w:eastAsia="ar-SA"/>
        </w:rPr>
        <w:t xml:space="preserve"> </w:t>
      </w:r>
      <w:r w:rsidRPr="000317C3">
        <w:rPr>
          <w:lang w:eastAsia="ar-SA"/>
        </w:rPr>
        <w:t>number is much higher than it is in the West Bank, as it reached 917 housing units/km</w:t>
      </w:r>
      <w:r w:rsidRPr="007525BA">
        <w:rPr>
          <w:vertAlign w:val="superscript"/>
          <w:lang w:eastAsia="ar-SA"/>
        </w:rPr>
        <w:t>2</w:t>
      </w:r>
      <w:r w:rsidR="008B3FED">
        <w:rPr>
          <w:lang w:val="en-US" w:eastAsia="ar-SA"/>
        </w:rPr>
        <w:t xml:space="preserve"> in Gaza Strip</w:t>
      </w:r>
      <w:r w:rsidRPr="000317C3">
        <w:rPr>
          <w:lang w:eastAsia="ar-SA"/>
        </w:rPr>
        <w:t xml:space="preserve"> compared to 105.</w:t>
      </w:r>
      <w:r w:rsidR="003F0CE4">
        <w:rPr>
          <w:lang w:val="en-US" w:eastAsia="ar-SA"/>
        </w:rPr>
        <w:t>0</w:t>
      </w:r>
      <w:r w:rsidRPr="000317C3">
        <w:rPr>
          <w:lang w:eastAsia="ar-SA"/>
        </w:rPr>
        <w:t xml:space="preserve"> housing units/km</w:t>
      </w:r>
      <w:r w:rsidRPr="007525BA">
        <w:rPr>
          <w:vertAlign w:val="superscript"/>
          <w:lang w:eastAsia="ar-SA"/>
        </w:rPr>
        <w:t>2</w:t>
      </w:r>
      <w:r w:rsidRPr="000317C3">
        <w:rPr>
          <w:lang w:eastAsia="ar-SA"/>
        </w:rPr>
        <w:t xml:space="preserve"> in the West Bank.</w:t>
      </w:r>
    </w:p>
    <w:p w:rsidR="008461AB" w:rsidRPr="008461AB" w:rsidRDefault="008461AB" w:rsidP="0047146B">
      <w:pPr>
        <w:jc w:val="lowKashida"/>
        <w:rPr>
          <w:lang w:val="en-US" w:eastAsia="ar-SA"/>
        </w:rPr>
      </w:pPr>
    </w:p>
    <w:p w:rsidR="00064487" w:rsidRPr="000317C3" w:rsidRDefault="00D60885" w:rsidP="000006EB">
      <w:pPr>
        <w:jc w:val="lowKashida"/>
        <w:rPr>
          <w:lang w:eastAsia="ar-SA"/>
        </w:rPr>
      </w:pPr>
      <w:r>
        <w:rPr>
          <w:lang w:val="en-US" w:eastAsia="ar-SA"/>
        </w:rPr>
        <w:t>T</w:t>
      </w:r>
      <w:r w:rsidR="00064487" w:rsidRPr="000317C3">
        <w:rPr>
          <w:lang w:eastAsia="ar-SA"/>
        </w:rPr>
        <w:t xml:space="preserve">he average of square kilometers of </w:t>
      </w:r>
      <w:r w:rsidRPr="00E34AE2">
        <w:rPr>
          <w:lang w:val="en-US"/>
        </w:rPr>
        <w:t>o</w:t>
      </w:r>
      <w:r w:rsidRPr="00E34AE2">
        <w:t>ccupied</w:t>
      </w:r>
      <w:r w:rsidR="00064487" w:rsidRPr="000317C3">
        <w:rPr>
          <w:lang w:eastAsia="ar-SA"/>
        </w:rPr>
        <w:t xml:space="preserve"> housing units in the two areas (A + B) in the West Bank was 260.</w:t>
      </w:r>
      <w:r w:rsidR="008461AB">
        <w:rPr>
          <w:lang w:val="en-US" w:eastAsia="ar-SA"/>
        </w:rPr>
        <w:t>8</w:t>
      </w:r>
      <w:r w:rsidR="00064487" w:rsidRPr="000317C3">
        <w:rPr>
          <w:lang w:eastAsia="ar-SA"/>
        </w:rPr>
        <w:t xml:space="preserve"> </w:t>
      </w:r>
      <w:r w:rsidR="008F7539" w:rsidRPr="000317C3">
        <w:rPr>
          <w:lang w:eastAsia="ar-SA"/>
        </w:rPr>
        <w:t>housing units</w:t>
      </w:r>
      <w:r w:rsidR="00064487" w:rsidRPr="000317C3">
        <w:rPr>
          <w:lang w:eastAsia="ar-SA"/>
        </w:rPr>
        <w:t>/km</w:t>
      </w:r>
      <w:r w:rsidR="00064487" w:rsidRPr="007525BA">
        <w:rPr>
          <w:vertAlign w:val="superscript"/>
          <w:lang w:eastAsia="ar-SA"/>
        </w:rPr>
        <w:t>2</w:t>
      </w:r>
      <w:r w:rsidR="00064487" w:rsidRPr="000317C3">
        <w:rPr>
          <w:lang w:eastAsia="ar-SA"/>
        </w:rPr>
        <w:t>, a difference of 155.</w:t>
      </w:r>
      <w:r w:rsidR="008461AB">
        <w:rPr>
          <w:lang w:val="en-US" w:eastAsia="ar-SA"/>
        </w:rPr>
        <w:t>8</w:t>
      </w:r>
      <w:r w:rsidR="00064487" w:rsidRPr="000317C3">
        <w:rPr>
          <w:lang w:eastAsia="ar-SA"/>
        </w:rPr>
        <w:t xml:space="preserve"> </w:t>
      </w:r>
      <w:r w:rsidR="008F7539" w:rsidRPr="000317C3">
        <w:rPr>
          <w:lang w:eastAsia="ar-SA"/>
        </w:rPr>
        <w:t>housing units</w:t>
      </w:r>
      <w:r w:rsidR="008F7539">
        <w:rPr>
          <w:lang w:val="en-US" w:eastAsia="ar-SA"/>
        </w:rPr>
        <w:t>/</w:t>
      </w:r>
      <w:r w:rsidR="00064487" w:rsidRPr="000317C3">
        <w:rPr>
          <w:lang w:eastAsia="ar-SA"/>
        </w:rPr>
        <w:t>km</w:t>
      </w:r>
      <w:r w:rsidR="00064487" w:rsidRPr="007525BA">
        <w:rPr>
          <w:vertAlign w:val="superscript"/>
          <w:lang w:eastAsia="ar-SA"/>
        </w:rPr>
        <w:t>2</w:t>
      </w:r>
      <w:r w:rsidR="00064487" w:rsidRPr="000317C3">
        <w:rPr>
          <w:lang w:eastAsia="ar-SA"/>
        </w:rPr>
        <w:t xml:space="preserve"> from the average according to the administrative boundaries of the West Bank, while the average share of square kilometers of </w:t>
      </w:r>
      <w:r w:rsidRPr="00E34AE2">
        <w:rPr>
          <w:lang w:val="en-US"/>
        </w:rPr>
        <w:t>o</w:t>
      </w:r>
      <w:r w:rsidRPr="00E34AE2">
        <w:t>ccupied</w:t>
      </w:r>
      <w:r w:rsidR="00064487" w:rsidRPr="000317C3">
        <w:rPr>
          <w:lang w:eastAsia="ar-SA"/>
        </w:rPr>
        <w:t xml:space="preserve"> housing units on the built-up </w:t>
      </w:r>
      <w:r w:rsidR="000006EB">
        <w:rPr>
          <w:lang w:val="en-US" w:eastAsia="ar-SA"/>
        </w:rPr>
        <w:t>area</w:t>
      </w:r>
      <w:r w:rsidR="00064487" w:rsidRPr="000317C3">
        <w:rPr>
          <w:lang w:eastAsia="ar-SA"/>
        </w:rPr>
        <w:t xml:space="preserve"> in Palestine</w:t>
      </w:r>
      <w:r w:rsidR="00230C3C">
        <w:rPr>
          <w:lang w:val="en-US" w:eastAsia="ar-SA"/>
        </w:rPr>
        <w:t>,</w:t>
      </w:r>
      <w:r w:rsidR="00064487" w:rsidRPr="000317C3">
        <w:rPr>
          <w:lang w:eastAsia="ar-SA"/>
        </w:rPr>
        <w:t xml:space="preserve"> in general</w:t>
      </w:r>
      <w:r w:rsidR="00230C3C">
        <w:rPr>
          <w:lang w:val="en-US" w:eastAsia="ar-SA"/>
        </w:rPr>
        <w:t>,</w:t>
      </w:r>
      <w:r w:rsidR="00064487" w:rsidRPr="000317C3">
        <w:rPr>
          <w:lang w:eastAsia="ar-SA"/>
        </w:rPr>
        <w:t xml:space="preserve"> is 1,561.2 </w:t>
      </w:r>
      <w:r w:rsidR="008F7539" w:rsidRPr="000317C3">
        <w:rPr>
          <w:lang w:eastAsia="ar-SA"/>
        </w:rPr>
        <w:t>housing units</w:t>
      </w:r>
      <w:r w:rsidR="00064487" w:rsidRPr="000317C3">
        <w:rPr>
          <w:lang w:eastAsia="ar-SA"/>
        </w:rPr>
        <w:t>/km</w:t>
      </w:r>
      <w:r w:rsidR="00064487" w:rsidRPr="007525BA">
        <w:rPr>
          <w:vertAlign w:val="superscript"/>
          <w:lang w:eastAsia="ar-SA"/>
        </w:rPr>
        <w:t>2</w:t>
      </w:r>
      <w:r w:rsidR="00230C3C">
        <w:rPr>
          <w:lang w:val="en-US" w:eastAsia="ar-SA"/>
        </w:rPr>
        <w:t>:</w:t>
      </w:r>
      <w:r w:rsidR="00064487" w:rsidRPr="000317C3">
        <w:rPr>
          <w:lang w:eastAsia="ar-SA"/>
        </w:rPr>
        <w:t xml:space="preserve"> </w:t>
      </w:r>
      <w:r w:rsidR="008461AB">
        <w:rPr>
          <w:lang w:val="en-US" w:eastAsia="ar-SA"/>
        </w:rPr>
        <w:t>1,294.7</w:t>
      </w:r>
      <w:r w:rsidR="00064487" w:rsidRPr="000317C3">
        <w:rPr>
          <w:lang w:eastAsia="ar-SA"/>
        </w:rPr>
        <w:t xml:space="preserve"> </w:t>
      </w:r>
      <w:r w:rsidR="008F7539" w:rsidRPr="000317C3">
        <w:rPr>
          <w:lang w:eastAsia="ar-SA"/>
        </w:rPr>
        <w:t>housing units</w:t>
      </w:r>
      <w:r w:rsidR="00064487" w:rsidRPr="000317C3">
        <w:rPr>
          <w:lang w:eastAsia="ar-SA"/>
        </w:rPr>
        <w:t>/km</w:t>
      </w:r>
      <w:r w:rsidR="00064487" w:rsidRPr="007525BA">
        <w:rPr>
          <w:vertAlign w:val="superscript"/>
          <w:lang w:eastAsia="ar-SA"/>
        </w:rPr>
        <w:t>2</w:t>
      </w:r>
      <w:r w:rsidR="00064487" w:rsidRPr="00064487">
        <w:rPr>
          <w:lang w:eastAsia="ar-SA"/>
        </w:rPr>
        <w:t xml:space="preserve"> </w:t>
      </w:r>
      <w:r w:rsidR="00064487" w:rsidRPr="000317C3">
        <w:rPr>
          <w:lang w:eastAsia="ar-SA"/>
        </w:rPr>
        <w:t>in the West Bank</w:t>
      </w:r>
      <w:r w:rsidR="00230C3C">
        <w:rPr>
          <w:lang w:val="en-US" w:eastAsia="ar-SA"/>
        </w:rPr>
        <w:t xml:space="preserve"> and</w:t>
      </w:r>
      <w:r w:rsidR="00064487" w:rsidRPr="000317C3">
        <w:rPr>
          <w:lang w:eastAsia="ar-SA"/>
        </w:rPr>
        <w:t xml:space="preserve"> </w:t>
      </w:r>
      <w:r w:rsidR="008461AB">
        <w:rPr>
          <w:lang w:val="en-US" w:eastAsia="ar-SA"/>
        </w:rPr>
        <w:t>2,461.1</w:t>
      </w:r>
      <w:r w:rsidR="00064487" w:rsidRPr="000317C3">
        <w:rPr>
          <w:lang w:eastAsia="ar-SA"/>
        </w:rPr>
        <w:t xml:space="preserve"> </w:t>
      </w:r>
      <w:r w:rsidR="008F7539" w:rsidRPr="000317C3">
        <w:rPr>
          <w:lang w:eastAsia="ar-SA"/>
        </w:rPr>
        <w:t>housing units</w:t>
      </w:r>
      <w:r w:rsidR="00064487" w:rsidRPr="000317C3">
        <w:rPr>
          <w:lang w:eastAsia="ar-SA"/>
        </w:rPr>
        <w:t>/km</w:t>
      </w:r>
      <w:r w:rsidR="00064487" w:rsidRPr="007525BA">
        <w:rPr>
          <w:vertAlign w:val="superscript"/>
          <w:lang w:eastAsia="ar-SA"/>
        </w:rPr>
        <w:t>2</w:t>
      </w:r>
      <w:r w:rsidR="00230C3C" w:rsidRPr="00230C3C">
        <w:rPr>
          <w:lang w:eastAsia="ar-SA"/>
        </w:rPr>
        <w:t xml:space="preserve"> </w:t>
      </w:r>
      <w:r w:rsidR="00230C3C">
        <w:rPr>
          <w:lang w:val="en-US" w:eastAsia="ar-SA"/>
        </w:rPr>
        <w:t xml:space="preserve">in </w:t>
      </w:r>
      <w:r w:rsidR="00230C3C" w:rsidRPr="000317C3">
        <w:rPr>
          <w:lang w:eastAsia="ar-SA"/>
        </w:rPr>
        <w:t>Gaza Strip</w:t>
      </w:r>
      <w:r w:rsidR="00064487" w:rsidRPr="000317C3">
        <w:rPr>
          <w:lang w:eastAsia="ar-SA"/>
        </w:rPr>
        <w:t>.</w:t>
      </w:r>
    </w:p>
    <w:p w:rsidR="00064487" w:rsidRDefault="00064487" w:rsidP="0047146B">
      <w:pPr>
        <w:jc w:val="both"/>
      </w:pPr>
    </w:p>
    <w:p w:rsidR="00064487" w:rsidRPr="000317C3" w:rsidRDefault="00DD7853" w:rsidP="00F35105">
      <w:pPr>
        <w:pStyle w:val="ListParagraph"/>
        <w:numPr>
          <w:ilvl w:val="0"/>
          <w:numId w:val="3"/>
        </w:numPr>
        <w:bidi w:val="0"/>
        <w:ind w:left="284" w:hanging="284"/>
        <w:jc w:val="both"/>
        <w:rPr>
          <w:b/>
          <w:bCs/>
          <w:szCs w:val="24"/>
        </w:rPr>
      </w:pPr>
      <w:r w:rsidRPr="00F70DA4">
        <w:rPr>
          <w:b/>
          <w:bCs/>
          <w:szCs w:val="24"/>
        </w:rPr>
        <w:t>Occupied</w:t>
      </w:r>
      <w:r w:rsidR="00A94E2C">
        <w:rPr>
          <w:b/>
          <w:bCs/>
          <w:szCs w:val="24"/>
        </w:rPr>
        <w:t xml:space="preserve"> h</w:t>
      </w:r>
      <w:r w:rsidR="00064487" w:rsidRPr="000317C3">
        <w:rPr>
          <w:b/>
          <w:bCs/>
          <w:szCs w:val="24"/>
        </w:rPr>
        <w:t xml:space="preserve">ousing units distribution </w:t>
      </w:r>
    </w:p>
    <w:p w:rsidR="00064487" w:rsidRPr="000317C3" w:rsidRDefault="00064487" w:rsidP="00953678">
      <w:pPr>
        <w:jc w:val="lowKashida"/>
        <w:rPr>
          <w:lang w:eastAsia="ar-SA"/>
        </w:rPr>
      </w:pPr>
      <w:r w:rsidRPr="000317C3">
        <w:rPr>
          <w:lang w:eastAsia="ar-SA"/>
        </w:rPr>
        <w:t xml:space="preserve">The percentage of concentration </w:t>
      </w:r>
      <w:r w:rsidR="0099756B">
        <w:rPr>
          <w:lang w:val="en-US" w:eastAsia="ar-SA"/>
        </w:rPr>
        <w:t xml:space="preserve">- </w:t>
      </w:r>
      <w:r w:rsidRPr="000317C3">
        <w:rPr>
          <w:lang w:eastAsia="ar-SA"/>
        </w:rPr>
        <w:t>the spread of housing units in the boundaries of ​​administrative area</w:t>
      </w:r>
      <w:r w:rsidR="0099756B">
        <w:rPr>
          <w:lang w:val="en-US" w:eastAsia="ar-SA"/>
        </w:rPr>
        <w:t xml:space="preserve"> -</w:t>
      </w:r>
      <w:r w:rsidR="0099756B" w:rsidRPr="000317C3">
        <w:rPr>
          <w:lang w:eastAsia="ar-SA"/>
        </w:rPr>
        <w:t xml:space="preserve"> </w:t>
      </w:r>
      <w:r w:rsidRPr="000317C3">
        <w:rPr>
          <w:lang w:eastAsia="ar-SA"/>
        </w:rPr>
        <w:t xml:space="preserve">was about </w:t>
      </w:r>
      <w:r w:rsidR="003F0CE4">
        <w:rPr>
          <w:lang w:val="en-US" w:eastAsia="ar-SA"/>
        </w:rPr>
        <w:t>34.8</w:t>
      </w:r>
      <w:r w:rsidRPr="000317C3">
        <w:rPr>
          <w:lang w:eastAsia="ar-SA"/>
        </w:rPr>
        <w:t xml:space="preserve">%, which means that the distribution is not equal, and closer to dispersion than to concentration. The degree of housing units concentration in the governorates area varied from one governorate to another. the reason of distribution </w:t>
      </w:r>
      <w:r w:rsidR="00072619">
        <w:rPr>
          <w:lang w:val="en-US" w:eastAsia="ar-SA"/>
        </w:rPr>
        <w:t>being</w:t>
      </w:r>
      <w:r w:rsidR="00072619" w:rsidRPr="000317C3">
        <w:rPr>
          <w:lang w:eastAsia="ar-SA"/>
        </w:rPr>
        <w:t xml:space="preserve"> </w:t>
      </w:r>
      <w:r w:rsidRPr="000317C3">
        <w:rPr>
          <w:lang w:eastAsia="ar-SA"/>
        </w:rPr>
        <w:t>closer to dispersion is the lack of balanced planning on the governorate area due to the Israeli occupation measures on the lands in the West Bank.</w:t>
      </w:r>
    </w:p>
    <w:p w:rsidR="00064487" w:rsidRPr="000317C3" w:rsidRDefault="00064487" w:rsidP="0047146B">
      <w:pPr>
        <w:jc w:val="both"/>
      </w:pPr>
    </w:p>
    <w:p w:rsidR="00064487" w:rsidRPr="000317C3" w:rsidRDefault="00F35105" w:rsidP="00A94E2C">
      <w:pPr>
        <w:pStyle w:val="ListParagraph"/>
        <w:numPr>
          <w:ilvl w:val="0"/>
          <w:numId w:val="3"/>
        </w:numPr>
        <w:bidi w:val="0"/>
        <w:ind w:left="284" w:hanging="284"/>
        <w:jc w:val="both"/>
        <w:rPr>
          <w:b/>
          <w:bCs/>
          <w:szCs w:val="24"/>
        </w:rPr>
      </w:pPr>
      <w:r>
        <w:rPr>
          <w:b/>
          <w:bCs/>
          <w:szCs w:val="24"/>
        </w:rPr>
        <w:t>O</w:t>
      </w:r>
      <w:r w:rsidR="00DD7853" w:rsidRPr="00F70DA4">
        <w:rPr>
          <w:b/>
          <w:bCs/>
          <w:szCs w:val="24"/>
        </w:rPr>
        <w:t>ccupied</w:t>
      </w:r>
      <w:r w:rsidR="00064487" w:rsidRPr="000317C3">
        <w:rPr>
          <w:b/>
          <w:bCs/>
          <w:szCs w:val="24"/>
        </w:rPr>
        <w:t xml:space="preserve"> housing units by type of housing unit</w:t>
      </w:r>
    </w:p>
    <w:p w:rsidR="00064487" w:rsidRPr="00F21F63" w:rsidRDefault="00064487" w:rsidP="005C4A8B">
      <w:pPr>
        <w:jc w:val="lowKashida"/>
        <w:rPr>
          <w:lang w:val="en-US" w:eastAsia="ar-SA"/>
        </w:rPr>
      </w:pPr>
      <w:r w:rsidRPr="000317C3">
        <w:rPr>
          <w:lang w:eastAsia="ar-SA"/>
        </w:rPr>
        <w:t xml:space="preserve">The apartment is the dominant type of </w:t>
      </w:r>
      <w:r w:rsidR="005C4A8B" w:rsidRPr="00E34AE2">
        <w:rPr>
          <w:lang w:val="en-US"/>
        </w:rPr>
        <w:t>o</w:t>
      </w:r>
      <w:r w:rsidR="005C4A8B" w:rsidRPr="00E34AE2">
        <w:t>ccupied</w:t>
      </w:r>
      <w:r w:rsidRPr="000317C3">
        <w:rPr>
          <w:lang w:eastAsia="ar-SA"/>
        </w:rPr>
        <w:t xml:space="preserve"> housing units in Palestine, as they represent about (61.5%), while the ‘house’ or what is known as (traditional houses) comes</w:t>
      </w:r>
      <w:r w:rsidR="000006EB">
        <w:rPr>
          <w:lang w:val="en-US" w:eastAsia="ar-SA"/>
        </w:rPr>
        <w:t xml:space="preserve"> in the</w:t>
      </w:r>
      <w:r w:rsidRPr="000317C3">
        <w:rPr>
          <w:lang w:eastAsia="ar-SA"/>
        </w:rPr>
        <w:t xml:space="preserve"> second </w:t>
      </w:r>
      <w:r w:rsidR="000006EB">
        <w:rPr>
          <w:lang w:val="en-US" w:eastAsia="ar-SA"/>
        </w:rPr>
        <w:t xml:space="preserve">rank </w:t>
      </w:r>
      <w:r w:rsidRPr="000317C3">
        <w:rPr>
          <w:lang w:eastAsia="ar-SA"/>
        </w:rPr>
        <w:t xml:space="preserve">with a percentage of (35.3%) of the total housing units in Palestine. Therefore, these two types constitute </w:t>
      </w:r>
      <w:r w:rsidR="00072619" w:rsidRPr="000317C3">
        <w:rPr>
          <w:lang w:eastAsia="ar-SA"/>
        </w:rPr>
        <w:t xml:space="preserve">together </w:t>
      </w:r>
      <w:r w:rsidRPr="000317C3">
        <w:rPr>
          <w:lang w:eastAsia="ar-SA"/>
        </w:rPr>
        <w:t>about 96.8% of the housing units. It is striking that the trends of the housing pattern changed during the period from 1997-2017</w:t>
      </w:r>
      <w:r w:rsidR="008F0DF6">
        <w:rPr>
          <w:lang w:val="en-US" w:eastAsia="ar-SA"/>
        </w:rPr>
        <w:t>.</w:t>
      </w:r>
      <w:r w:rsidR="008F0DF6" w:rsidRPr="000317C3">
        <w:rPr>
          <w:lang w:eastAsia="ar-SA"/>
        </w:rPr>
        <w:t xml:space="preserve"> </w:t>
      </w:r>
      <w:r w:rsidR="008F0DF6">
        <w:rPr>
          <w:lang w:val="en-US" w:eastAsia="ar-SA"/>
        </w:rPr>
        <w:t>I</w:t>
      </w:r>
      <w:r w:rsidRPr="000317C3">
        <w:rPr>
          <w:lang w:eastAsia="ar-SA"/>
        </w:rPr>
        <w:t xml:space="preserve">t is </w:t>
      </w:r>
      <w:r w:rsidR="008F0DF6">
        <w:rPr>
          <w:lang w:val="en-US" w:eastAsia="ar-SA"/>
        </w:rPr>
        <w:t xml:space="preserve">also </w:t>
      </w:r>
      <w:r w:rsidRPr="000317C3">
        <w:rPr>
          <w:lang w:eastAsia="ar-SA"/>
        </w:rPr>
        <w:t>noticed that the (houses) recorded a decrease against an increase in the number of apartments. Given the type of housing</w:t>
      </w:r>
      <w:r w:rsidR="000006EB">
        <w:rPr>
          <w:lang w:val="en-US" w:eastAsia="ar-SA"/>
        </w:rPr>
        <w:t xml:space="preserve"> unit</w:t>
      </w:r>
      <w:r w:rsidRPr="000317C3">
        <w:rPr>
          <w:lang w:eastAsia="ar-SA"/>
        </w:rPr>
        <w:t xml:space="preserve"> indicator, it is found that </w:t>
      </w:r>
      <w:r w:rsidR="0036281F">
        <w:rPr>
          <w:lang w:val="en-US" w:eastAsia="ar-SA"/>
        </w:rPr>
        <w:t>this</w:t>
      </w:r>
      <w:r w:rsidR="0036281F" w:rsidRPr="000317C3">
        <w:rPr>
          <w:lang w:eastAsia="ar-SA"/>
        </w:rPr>
        <w:t xml:space="preserve"> indicator </w:t>
      </w:r>
      <w:r w:rsidRPr="000317C3">
        <w:rPr>
          <w:lang w:eastAsia="ar-SA"/>
        </w:rPr>
        <w:t xml:space="preserve">is good for Palestine, due to the high </w:t>
      </w:r>
      <w:r w:rsidRPr="000317C3">
        <w:rPr>
          <w:lang w:eastAsia="ar-SA"/>
        </w:rPr>
        <w:lastRenderedPageBreak/>
        <w:t>percentage of apartments compared to the low percentage of houses during the last two decades, which indicates that the vertical pattern has become a clear trend in recent years, but the house remains clearly more liked</w:t>
      </w:r>
      <w:r w:rsidR="008F0DF6">
        <w:rPr>
          <w:lang w:val="en-US" w:eastAsia="ar-SA"/>
        </w:rPr>
        <w:t>/preferred</w:t>
      </w:r>
      <w:r w:rsidR="00F21F63">
        <w:rPr>
          <w:lang w:eastAsia="ar-SA"/>
        </w:rPr>
        <w:t xml:space="preserve"> by people</w:t>
      </w:r>
      <w:r w:rsidR="00F21F63">
        <w:rPr>
          <w:lang w:val="en-US" w:eastAsia="ar-SA"/>
        </w:rPr>
        <w:t xml:space="preserve"> especially in rural area</w:t>
      </w:r>
      <w:r w:rsidR="003561C6">
        <w:rPr>
          <w:lang w:val="en-US" w:eastAsia="ar-SA"/>
        </w:rPr>
        <w:t>s</w:t>
      </w:r>
      <w:r w:rsidR="00F21F63">
        <w:rPr>
          <w:lang w:val="en-US" w:eastAsia="ar-SA"/>
        </w:rPr>
        <w:t>.</w:t>
      </w:r>
    </w:p>
    <w:p w:rsidR="00064487" w:rsidRPr="000317C3" w:rsidRDefault="00064487" w:rsidP="0047146B">
      <w:pPr>
        <w:jc w:val="both"/>
      </w:pPr>
    </w:p>
    <w:p w:rsidR="00064487" w:rsidRPr="000317C3" w:rsidRDefault="00E34AE2" w:rsidP="00F35105">
      <w:pPr>
        <w:pStyle w:val="ListParagraph"/>
        <w:numPr>
          <w:ilvl w:val="0"/>
          <w:numId w:val="3"/>
        </w:numPr>
        <w:bidi w:val="0"/>
        <w:ind w:left="284" w:hanging="284"/>
        <w:jc w:val="both"/>
        <w:rPr>
          <w:b/>
          <w:bCs/>
          <w:szCs w:val="24"/>
        </w:rPr>
      </w:pPr>
      <w:r>
        <w:rPr>
          <w:b/>
          <w:bCs/>
          <w:szCs w:val="24"/>
        </w:rPr>
        <w:t>V</w:t>
      </w:r>
      <w:r w:rsidRPr="00E34AE2">
        <w:rPr>
          <w:b/>
          <w:bCs/>
          <w:szCs w:val="24"/>
        </w:rPr>
        <w:t>acant</w:t>
      </w:r>
      <w:r w:rsidRPr="000317C3">
        <w:t xml:space="preserve"> </w:t>
      </w:r>
      <w:r w:rsidR="00064487" w:rsidRPr="000317C3">
        <w:rPr>
          <w:b/>
          <w:bCs/>
          <w:szCs w:val="24"/>
        </w:rPr>
        <w:t>housing units (unoccupied)</w:t>
      </w:r>
    </w:p>
    <w:p w:rsidR="00064487" w:rsidRPr="000317C3" w:rsidRDefault="00064487" w:rsidP="0047146B">
      <w:pPr>
        <w:jc w:val="lowKashida"/>
        <w:rPr>
          <w:lang w:eastAsia="ar-SA"/>
        </w:rPr>
      </w:pPr>
      <w:r w:rsidRPr="000317C3">
        <w:rPr>
          <w:lang w:eastAsia="ar-SA"/>
        </w:rPr>
        <w:t>The percentage of vacant housing units in Palestine is 6.1% of the total housing units; 6.</w:t>
      </w:r>
      <w:r w:rsidR="008461AB">
        <w:rPr>
          <w:lang w:val="en-US" w:eastAsia="ar-SA"/>
        </w:rPr>
        <w:t>4</w:t>
      </w:r>
      <w:r w:rsidRPr="000317C3">
        <w:rPr>
          <w:lang w:eastAsia="ar-SA"/>
        </w:rPr>
        <w:t>% in the West Bank and 5.7% in Gaza Strip</w:t>
      </w:r>
      <w:r w:rsidR="00F42027" w:rsidRPr="00F42027">
        <w:rPr>
          <w:vertAlign w:val="superscript"/>
          <w:lang w:eastAsia="ar-SA"/>
        </w:rPr>
        <w:footnoteReference w:id="1"/>
      </w:r>
      <w:r w:rsidRPr="000317C3">
        <w:rPr>
          <w:lang w:eastAsia="ar-SA"/>
        </w:rPr>
        <w:t xml:space="preserve">. This indicator </w:t>
      </w:r>
      <w:r w:rsidR="0036281F" w:rsidRPr="000317C3">
        <w:rPr>
          <w:lang w:eastAsia="ar-SA"/>
        </w:rPr>
        <w:t xml:space="preserve">is </w:t>
      </w:r>
      <w:r w:rsidR="0036281F">
        <w:rPr>
          <w:lang w:val="en-US" w:eastAsia="ar-SA"/>
        </w:rPr>
        <w:t xml:space="preserve">considered </w:t>
      </w:r>
      <w:r w:rsidR="0036281F" w:rsidRPr="000317C3">
        <w:rPr>
          <w:lang w:eastAsia="ar-SA"/>
        </w:rPr>
        <w:t xml:space="preserve">good </w:t>
      </w:r>
      <w:r w:rsidRPr="000317C3">
        <w:rPr>
          <w:lang w:eastAsia="ar-SA"/>
        </w:rPr>
        <w:t>in Palestine, where the average of most international cities ranges between (7% -</w:t>
      </w:r>
      <w:r w:rsidR="00650DA5">
        <w:rPr>
          <w:lang w:val="en-US" w:eastAsia="ar-SA"/>
        </w:rPr>
        <w:t xml:space="preserve"> </w:t>
      </w:r>
      <w:r w:rsidRPr="000317C3">
        <w:rPr>
          <w:lang w:eastAsia="ar-SA"/>
        </w:rPr>
        <w:t>9%).</w:t>
      </w:r>
    </w:p>
    <w:p w:rsidR="00064487" w:rsidRPr="000317C3" w:rsidRDefault="00064487" w:rsidP="0047146B">
      <w:pPr>
        <w:bidi/>
        <w:jc w:val="both"/>
      </w:pPr>
    </w:p>
    <w:p w:rsidR="00064487" w:rsidRPr="000317C3" w:rsidRDefault="00F35105" w:rsidP="00A94E2C">
      <w:pPr>
        <w:pStyle w:val="ListParagraph"/>
        <w:numPr>
          <w:ilvl w:val="0"/>
          <w:numId w:val="3"/>
        </w:numPr>
        <w:bidi w:val="0"/>
        <w:ind w:left="284" w:hanging="284"/>
        <w:jc w:val="both"/>
        <w:rPr>
          <w:b/>
          <w:bCs/>
          <w:szCs w:val="24"/>
        </w:rPr>
      </w:pPr>
      <w:r>
        <w:rPr>
          <w:b/>
          <w:bCs/>
          <w:szCs w:val="24"/>
        </w:rPr>
        <w:t>T</w:t>
      </w:r>
      <w:r w:rsidR="00064487" w:rsidRPr="000317C3">
        <w:rPr>
          <w:b/>
          <w:bCs/>
          <w:szCs w:val="24"/>
        </w:rPr>
        <w:t xml:space="preserve">he number of persons per </w:t>
      </w:r>
      <w:r w:rsidR="00A94E2C">
        <w:rPr>
          <w:b/>
          <w:bCs/>
          <w:szCs w:val="24"/>
        </w:rPr>
        <w:t>o</w:t>
      </w:r>
      <w:r w:rsidR="00DD7853" w:rsidRPr="00F70DA4">
        <w:rPr>
          <w:b/>
          <w:bCs/>
          <w:szCs w:val="24"/>
        </w:rPr>
        <w:t>ccupied</w:t>
      </w:r>
      <w:r w:rsidR="00A930C3">
        <w:rPr>
          <w:b/>
          <w:bCs/>
          <w:szCs w:val="24"/>
        </w:rPr>
        <w:t xml:space="preserve"> </w:t>
      </w:r>
      <w:r w:rsidR="00064487" w:rsidRPr="000317C3">
        <w:rPr>
          <w:b/>
          <w:bCs/>
          <w:szCs w:val="24"/>
        </w:rPr>
        <w:t>housing unit</w:t>
      </w:r>
    </w:p>
    <w:p w:rsidR="00064487" w:rsidRPr="00207327" w:rsidRDefault="00064487" w:rsidP="00207327">
      <w:pPr>
        <w:jc w:val="lowKashida"/>
        <w:rPr>
          <w:lang w:val="en-US" w:eastAsia="ar-SA"/>
        </w:rPr>
      </w:pPr>
      <w:r w:rsidRPr="000317C3">
        <w:rPr>
          <w:lang w:eastAsia="ar-SA"/>
        </w:rPr>
        <w:t>The number of persons/housing unit in Palestine ranges from (4.</w:t>
      </w:r>
      <w:r w:rsidR="008461AB">
        <w:rPr>
          <w:lang w:val="en-US" w:eastAsia="ar-SA"/>
        </w:rPr>
        <w:t>4</w:t>
      </w:r>
      <w:r w:rsidRPr="000317C3">
        <w:rPr>
          <w:lang w:eastAsia="ar-SA"/>
        </w:rPr>
        <w:t xml:space="preserve"> to 5.</w:t>
      </w:r>
      <w:r w:rsidR="008461AB">
        <w:rPr>
          <w:lang w:val="en-US" w:eastAsia="ar-SA"/>
        </w:rPr>
        <w:t>7</w:t>
      </w:r>
      <w:r w:rsidRPr="000317C3">
        <w:rPr>
          <w:lang w:eastAsia="ar-SA"/>
        </w:rPr>
        <w:t xml:space="preserve">) </w:t>
      </w:r>
      <w:r w:rsidR="005953B7">
        <w:rPr>
          <w:lang w:val="en-US" w:eastAsia="ar-SA"/>
        </w:rPr>
        <w:t>person</w:t>
      </w:r>
      <w:r w:rsidRPr="000317C3">
        <w:rPr>
          <w:lang w:eastAsia="ar-SA"/>
        </w:rPr>
        <w:t>/housing unit. The difference is not large then, as it does not exceed 1.</w:t>
      </w:r>
      <w:r w:rsidR="00FE1865">
        <w:rPr>
          <w:lang w:val="en-US" w:eastAsia="ar-SA"/>
        </w:rPr>
        <w:t>3</w:t>
      </w:r>
      <w:r w:rsidRPr="000317C3">
        <w:rPr>
          <w:lang w:eastAsia="ar-SA"/>
        </w:rPr>
        <w:t xml:space="preserve"> </w:t>
      </w:r>
      <w:r w:rsidR="005953B7">
        <w:rPr>
          <w:lang w:val="en-US" w:eastAsia="ar-SA"/>
        </w:rPr>
        <w:t>person</w:t>
      </w:r>
      <w:r w:rsidRPr="000317C3">
        <w:rPr>
          <w:lang w:eastAsia="ar-SA"/>
        </w:rPr>
        <w:t>/housing</w:t>
      </w:r>
      <w:r w:rsidR="000006EB">
        <w:rPr>
          <w:lang w:val="en-US" w:eastAsia="ar-SA"/>
        </w:rPr>
        <w:t xml:space="preserve"> unit</w:t>
      </w:r>
      <w:r w:rsidRPr="000317C3">
        <w:rPr>
          <w:lang w:eastAsia="ar-SA"/>
        </w:rPr>
        <w:t xml:space="preserve">, while the general average is 5.1 </w:t>
      </w:r>
      <w:r w:rsidR="005953B7">
        <w:rPr>
          <w:lang w:val="en-US" w:eastAsia="ar-SA"/>
        </w:rPr>
        <w:t>person</w:t>
      </w:r>
      <w:r w:rsidRPr="000317C3">
        <w:rPr>
          <w:lang w:eastAsia="ar-SA"/>
        </w:rPr>
        <w:t xml:space="preserve">/housing unit. There is a difference between the West Bank and Gaza Strip; in the West Bank the number is 4.8 </w:t>
      </w:r>
      <w:r w:rsidR="005953B7">
        <w:rPr>
          <w:lang w:val="en-US" w:eastAsia="ar-SA"/>
        </w:rPr>
        <w:t>person</w:t>
      </w:r>
      <w:r w:rsidRPr="000317C3">
        <w:rPr>
          <w:lang w:eastAsia="ar-SA"/>
        </w:rPr>
        <w:t xml:space="preserve">/housing unit, while </w:t>
      </w:r>
      <w:r w:rsidR="001554E3" w:rsidRPr="000317C3">
        <w:rPr>
          <w:lang w:eastAsia="ar-SA"/>
        </w:rPr>
        <w:t>it is 5.</w:t>
      </w:r>
      <w:r w:rsidR="008461AB">
        <w:rPr>
          <w:lang w:val="en-US" w:eastAsia="ar-SA"/>
        </w:rPr>
        <w:t>6</w:t>
      </w:r>
      <w:r w:rsidR="001554E3" w:rsidRPr="000317C3">
        <w:rPr>
          <w:lang w:eastAsia="ar-SA"/>
        </w:rPr>
        <w:t xml:space="preserve"> </w:t>
      </w:r>
      <w:r w:rsidR="005953B7">
        <w:rPr>
          <w:lang w:val="en-US" w:eastAsia="ar-SA"/>
        </w:rPr>
        <w:t>person</w:t>
      </w:r>
      <w:r w:rsidR="001554E3" w:rsidRPr="000317C3">
        <w:rPr>
          <w:lang w:eastAsia="ar-SA"/>
        </w:rPr>
        <w:t xml:space="preserve">/housing unit </w:t>
      </w:r>
      <w:r w:rsidRPr="000317C3">
        <w:rPr>
          <w:lang w:eastAsia="ar-SA"/>
        </w:rPr>
        <w:t>in the Gaza Strip, with a difference of 0.</w:t>
      </w:r>
      <w:r w:rsidR="008461AB">
        <w:rPr>
          <w:lang w:val="en-US" w:eastAsia="ar-SA"/>
        </w:rPr>
        <w:t>8</w:t>
      </w:r>
      <w:r w:rsidR="005953B7">
        <w:rPr>
          <w:lang w:eastAsia="ar-SA"/>
        </w:rPr>
        <w:t xml:space="preserve"> person</w:t>
      </w:r>
      <w:r w:rsidR="005953B7">
        <w:rPr>
          <w:lang w:val="en-US" w:eastAsia="ar-SA"/>
        </w:rPr>
        <w:t>/</w:t>
      </w:r>
      <w:r w:rsidRPr="000317C3">
        <w:rPr>
          <w:lang w:eastAsia="ar-SA"/>
        </w:rPr>
        <w:t>housing unit.</w:t>
      </w:r>
    </w:p>
    <w:p w:rsidR="00FE1865" w:rsidRPr="00207327" w:rsidRDefault="00FE1865" w:rsidP="0047146B">
      <w:pPr>
        <w:jc w:val="lowKashida"/>
        <w:rPr>
          <w:lang w:val="en-US" w:eastAsia="ar-SA"/>
        </w:rPr>
      </w:pPr>
    </w:p>
    <w:p w:rsidR="00064487" w:rsidRDefault="00A36C85" w:rsidP="00A94E2C">
      <w:pPr>
        <w:jc w:val="lowKashida"/>
        <w:rPr>
          <w:lang w:val="en-US" w:eastAsia="ar-SA"/>
        </w:rPr>
      </w:pPr>
      <w:r>
        <w:rPr>
          <w:lang w:val="en-US" w:eastAsia="ar-SA"/>
        </w:rPr>
        <w:t xml:space="preserve">Although </w:t>
      </w:r>
      <w:r w:rsidR="00064487" w:rsidRPr="000317C3">
        <w:rPr>
          <w:lang w:eastAsia="ar-SA"/>
        </w:rPr>
        <w:t xml:space="preserve">the indicator of number of </w:t>
      </w:r>
      <w:r w:rsidR="000B2D88">
        <w:rPr>
          <w:lang w:val="en-US" w:eastAsia="ar-SA"/>
        </w:rPr>
        <w:t>prsons</w:t>
      </w:r>
      <w:r w:rsidR="000B2D88" w:rsidRPr="000317C3">
        <w:rPr>
          <w:lang w:eastAsia="ar-SA"/>
        </w:rPr>
        <w:t xml:space="preserve"> </w:t>
      </w:r>
      <w:r w:rsidR="00064487" w:rsidRPr="000317C3">
        <w:rPr>
          <w:lang w:eastAsia="ar-SA"/>
        </w:rPr>
        <w:t xml:space="preserve">in the </w:t>
      </w:r>
      <w:r w:rsidR="00A94E2C">
        <w:rPr>
          <w:lang w:val="en-US"/>
        </w:rPr>
        <w:t>o</w:t>
      </w:r>
      <w:r w:rsidRPr="00E34AE2">
        <w:t>ccupied</w:t>
      </w:r>
      <w:r w:rsidRPr="000317C3">
        <w:rPr>
          <w:lang w:eastAsia="ar-SA"/>
        </w:rPr>
        <w:t xml:space="preserve"> </w:t>
      </w:r>
      <w:r w:rsidR="00064487" w:rsidRPr="000317C3">
        <w:rPr>
          <w:lang w:eastAsia="ar-SA"/>
        </w:rPr>
        <w:t>housing unit is good and it suggests that the housing</w:t>
      </w:r>
      <w:r w:rsidR="000006EB">
        <w:rPr>
          <w:lang w:val="en-US" w:eastAsia="ar-SA"/>
        </w:rPr>
        <w:t xml:space="preserve"> unit</w:t>
      </w:r>
      <w:r w:rsidR="00064487" w:rsidRPr="000317C3">
        <w:rPr>
          <w:lang w:eastAsia="ar-SA"/>
        </w:rPr>
        <w:t xml:space="preserve"> is adequate, but this indicator does not reflect the reality as it is because other indicators should be taken into account, such as: the number of rooms inside the housing unit, the number of persons per room (density of housing unit), type of household and type of housing unit.</w:t>
      </w:r>
    </w:p>
    <w:p w:rsidR="003F0CE4" w:rsidRPr="003F0CE4" w:rsidRDefault="003F0CE4" w:rsidP="0047146B">
      <w:pPr>
        <w:jc w:val="lowKashida"/>
        <w:rPr>
          <w:lang w:val="en-US" w:eastAsia="ar-SA"/>
        </w:rPr>
      </w:pPr>
    </w:p>
    <w:p w:rsidR="00064487" w:rsidRPr="000317C3" w:rsidRDefault="00F35105" w:rsidP="0047146B">
      <w:pPr>
        <w:pStyle w:val="ListParagraph"/>
        <w:numPr>
          <w:ilvl w:val="0"/>
          <w:numId w:val="3"/>
        </w:numPr>
        <w:bidi w:val="0"/>
        <w:ind w:left="284" w:hanging="284"/>
        <w:jc w:val="both"/>
        <w:rPr>
          <w:b/>
          <w:bCs/>
          <w:szCs w:val="24"/>
        </w:rPr>
      </w:pPr>
      <w:r>
        <w:rPr>
          <w:b/>
          <w:bCs/>
          <w:szCs w:val="24"/>
        </w:rPr>
        <w:t>N</w:t>
      </w:r>
      <w:r w:rsidR="00064487" w:rsidRPr="000317C3">
        <w:rPr>
          <w:b/>
          <w:bCs/>
          <w:szCs w:val="24"/>
        </w:rPr>
        <w:t>umber of persons per room (</w:t>
      </w:r>
      <w:bookmarkStart w:id="5" w:name="_Hlk39590068"/>
      <w:r w:rsidR="00064487" w:rsidRPr="000317C3">
        <w:rPr>
          <w:b/>
          <w:bCs/>
          <w:szCs w:val="24"/>
        </w:rPr>
        <w:t>housing density</w:t>
      </w:r>
      <w:bookmarkEnd w:id="5"/>
      <w:r w:rsidR="00064487" w:rsidRPr="000317C3">
        <w:rPr>
          <w:b/>
          <w:bCs/>
          <w:szCs w:val="24"/>
        </w:rPr>
        <w:t>)</w:t>
      </w:r>
    </w:p>
    <w:p w:rsidR="00064487" w:rsidRPr="000317C3" w:rsidRDefault="00064487" w:rsidP="00E34AE2">
      <w:pPr>
        <w:jc w:val="lowKashida"/>
        <w:rPr>
          <w:lang w:eastAsia="ar-SA"/>
        </w:rPr>
      </w:pPr>
      <w:r w:rsidRPr="000317C3">
        <w:rPr>
          <w:lang w:eastAsia="ar-SA"/>
        </w:rPr>
        <w:t xml:space="preserve">The average housing density in Palestine was 1.4 </w:t>
      </w:r>
      <w:bookmarkStart w:id="6" w:name="_Hlk39589504"/>
      <w:r w:rsidRPr="000317C3">
        <w:rPr>
          <w:lang w:eastAsia="ar-SA"/>
        </w:rPr>
        <w:t>persons/room</w:t>
      </w:r>
      <w:bookmarkEnd w:id="6"/>
      <w:r w:rsidR="00A94E2C">
        <w:rPr>
          <w:lang w:val="en-US" w:eastAsia="ar-SA"/>
        </w:rPr>
        <w:t>,</w:t>
      </w:r>
      <w:r w:rsidR="00C3701F">
        <w:rPr>
          <w:lang w:val="en-US" w:eastAsia="ar-SA"/>
        </w:rPr>
        <w:t xml:space="preserve"> </w:t>
      </w:r>
      <w:r w:rsidR="00427D03">
        <w:rPr>
          <w:lang w:val="en-US" w:eastAsia="ar-SA"/>
        </w:rPr>
        <w:t>and</w:t>
      </w:r>
      <w:r w:rsidRPr="000317C3">
        <w:rPr>
          <w:lang w:eastAsia="ar-SA"/>
        </w:rPr>
        <w:t xml:space="preserve"> the </w:t>
      </w:r>
      <w:r w:rsidR="005953B7">
        <w:rPr>
          <w:lang w:val="en-US" w:eastAsia="ar-SA"/>
        </w:rPr>
        <w:t>persentage</w:t>
      </w:r>
      <w:r w:rsidR="005953B7" w:rsidRPr="000317C3">
        <w:rPr>
          <w:lang w:eastAsia="ar-SA"/>
        </w:rPr>
        <w:t xml:space="preserve"> </w:t>
      </w:r>
      <w:r w:rsidRPr="000317C3">
        <w:rPr>
          <w:lang w:eastAsia="ar-SA"/>
        </w:rPr>
        <w:t>was 1.3 persons/room</w:t>
      </w:r>
      <w:r w:rsidR="00C3701F" w:rsidRPr="00C3701F">
        <w:rPr>
          <w:lang w:eastAsia="ar-SA"/>
        </w:rPr>
        <w:t xml:space="preserve"> </w:t>
      </w:r>
      <w:r w:rsidR="00C3701F" w:rsidRPr="000317C3">
        <w:rPr>
          <w:lang w:eastAsia="ar-SA"/>
        </w:rPr>
        <w:t>in the West Bank</w:t>
      </w:r>
      <w:r w:rsidRPr="000317C3">
        <w:rPr>
          <w:lang w:eastAsia="ar-SA"/>
        </w:rPr>
        <w:t xml:space="preserve">, while </w:t>
      </w:r>
      <w:r w:rsidR="00C3701F">
        <w:rPr>
          <w:lang w:val="en-US" w:eastAsia="ar-SA"/>
        </w:rPr>
        <w:t>it</w:t>
      </w:r>
      <w:r w:rsidRPr="000317C3">
        <w:rPr>
          <w:lang w:eastAsia="ar-SA"/>
        </w:rPr>
        <w:t xml:space="preserve"> was </w:t>
      </w:r>
      <w:r w:rsidR="00C3701F">
        <w:rPr>
          <w:lang w:val="en-US" w:eastAsia="ar-SA"/>
        </w:rPr>
        <w:t xml:space="preserve">higher, </w:t>
      </w:r>
      <w:r w:rsidR="00C3701F" w:rsidRPr="000317C3">
        <w:rPr>
          <w:lang w:eastAsia="ar-SA"/>
        </w:rPr>
        <w:t>1.6 persons/room</w:t>
      </w:r>
      <w:r w:rsidR="00C3701F">
        <w:rPr>
          <w:lang w:val="en-US" w:eastAsia="ar-SA"/>
        </w:rPr>
        <w:t>,</w:t>
      </w:r>
      <w:r w:rsidR="00C3701F" w:rsidRPr="000317C3">
        <w:rPr>
          <w:lang w:eastAsia="ar-SA"/>
        </w:rPr>
        <w:t xml:space="preserve"> </w:t>
      </w:r>
      <w:r w:rsidRPr="000317C3">
        <w:rPr>
          <w:lang w:eastAsia="ar-SA"/>
        </w:rPr>
        <w:t xml:space="preserve">in Gaza Strip. As for the </w:t>
      </w:r>
      <w:r w:rsidR="00C3701F">
        <w:rPr>
          <w:lang w:val="en-US" w:eastAsia="ar-SA"/>
        </w:rPr>
        <w:t>p</w:t>
      </w:r>
      <w:r w:rsidR="00C3701F" w:rsidRPr="000317C3">
        <w:rPr>
          <w:lang w:eastAsia="ar-SA"/>
        </w:rPr>
        <w:t xml:space="preserve">ercentage </w:t>
      </w:r>
      <w:r w:rsidRPr="000317C3">
        <w:rPr>
          <w:lang w:eastAsia="ar-SA"/>
        </w:rPr>
        <w:t>distribution of persons in a room in Palestine, the greatest number of households that has housing density of (1 persons/room - 1.99 persons/room) is 50.</w:t>
      </w:r>
      <w:r w:rsidR="00FE1865">
        <w:rPr>
          <w:lang w:val="en-US" w:eastAsia="ar-SA"/>
        </w:rPr>
        <w:t>8</w:t>
      </w:r>
      <w:r w:rsidRPr="000317C3">
        <w:rPr>
          <w:lang w:eastAsia="ar-SA"/>
        </w:rPr>
        <w:t xml:space="preserve">%. This group does not often suffer from a housing crisis due to the housing density, followed by households that have housing density of (2 persons/room - 2.99 and more persons/room) with a </w:t>
      </w:r>
      <w:r w:rsidR="005953B7">
        <w:rPr>
          <w:lang w:val="en-US" w:eastAsia="ar-SA"/>
        </w:rPr>
        <w:t>per</w:t>
      </w:r>
      <w:r w:rsidR="000006EB">
        <w:rPr>
          <w:lang w:val="en-US" w:eastAsia="ar-SA"/>
        </w:rPr>
        <w:t>c</w:t>
      </w:r>
      <w:r w:rsidR="005953B7">
        <w:rPr>
          <w:lang w:val="en-US" w:eastAsia="ar-SA"/>
        </w:rPr>
        <w:t>entage</w:t>
      </w:r>
      <w:r w:rsidR="005953B7" w:rsidRPr="000317C3">
        <w:rPr>
          <w:lang w:eastAsia="ar-SA"/>
        </w:rPr>
        <w:t xml:space="preserve"> </w:t>
      </w:r>
      <w:r w:rsidRPr="000317C3">
        <w:rPr>
          <w:lang w:eastAsia="ar-SA"/>
        </w:rPr>
        <w:t xml:space="preserve">of 21.3%, while households with a </w:t>
      </w:r>
      <w:bookmarkStart w:id="7" w:name="_Hlk39590651"/>
      <w:r w:rsidRPr="000317C3">
        <w:rPr>
          <w:lang w:eastAsia="ar-SA"/>
        </w:rPr>
        <w:t xml:space="preserve">housing density </w:t>
      </w:r>
      <w:bookmarkEnd w:id="7"/>
      <w:r w:rsidRPr="000317C3">
        <w:rPr>
          <w:lang w:eastAsia="ar-SA"/>
        </w:rPr>
        <w:t>less than one person, constitute 20.5%, and the lowest percentage was 7.4% for households with a housing density of (3 persons or more/room). According to scales of the housing density, the rooms</w:t>
      </w:r>
      <w:r w:rsidR="005B3B4B">
        <w:rPr>
          <w:lang w:val="en-US" w:eastAsia="ar-SA"/>
        </w:rPr>
        <w:t>,</w:t>
      </w:r>
      <w:r w:rsidRPr="000317C3">
        <w:rPr>
          <w:lang w:eastAsia="ar-SA"/>
        </w:rPr>
        <w:t xml:space="preserve"> where the number of persons exceeds 2 persons/room</w:t>
      </w:r>
      <w:r w:rsidR="005B3B4B">
        <w:rPr>
          <w:lang w:val="en-US" w:eastAsia="ar-SA"/>
        </w:rPr>
        <w:t>,</w:t>
      </w:r>
      <w:r w:rsidRPr="000317C3">
        <w:rPr>
          <w:lang w:eastAsia="ar-SA"/>
        </w:rPr>
        <w:t xml:space="preserve"> suffer from a high degree of </w:t>
      </w:r>
      <w:r w:rsidR="000006EB">
        <w:rPr>
          <w:lang w:val="en-US" w:eastAsia="ar-SA"/>
        </w:rPr>
        <w:t>housing density</w:t>
      </w:r>
      <w:r w:rsidRPr="000317C3">
        <w:rPr>
          <w:lang w:eastAsia="ar-SA"/>
        </w:rPr>
        <w:t xml:space="preserve">. </w:t>
      </w:r>
      <w:r w:rsidR="00427D03">
        <w:rPr>
          <w:lang w:val="en-US" w:eastAsia="ar-SA"/>
        </w:rPr>
        <w:t>T</w:t>
      </w:r>
      <w:r w:rsidRPr="000317C3">
        <w:rPr>
          <w:lang w:eastAsia="ar-SA"/>
        </w:rPr>
        <w:t xml:space="preserve">he general trend in Palestine goes towards a decrease in the housing density in recent years from (2000-2017). The </w:t>
      </w:r>
      <w:bookmarkStart w:id="8" w:name="_Hlk39590988"/>
      <w:r w:rsidRPr="000317C3">
        <w:rPr>
          <w:lang w:eastAsia="ar-SA"/>
        </w:rPr>
        <w:t xml:space="preserve">average </w:t>
      </w:r>
      <w:bookmarkEnd w:id="8"/>
      <w:r w:rsidRPr="000317C3">
        <w:rPr>
          <w:lang w:eastAsia="ar-SA"/>
        </w:rPr>
        <w:t>housing density was 1.9 persons</w:t>
      </w:r>
      <w:r w:rsidR="00E34AE2">
        <w:rPr>
          <w:lang w:val="en-US" w:eastAsia="ar-SA"/>
        </w:rPr>
        <w:t>/</w:t>
      </w:r>
      <w:r w:rsidRPr="000317C3">
        <w:rPr>
          <w:lang w:eastAsia="ar-SA"/>
        </w:rPr>
        <w:t>room in the year 2000, but it decreased to become 1.4 persons/room in 2017.</w:t>
      </w:r>
    </w:p>
    <w:p w:rsidR="00064487" w:rsidRPr="000317C3" w:rsidRDefault="00064487" w:rsidP="0047146B">
      <w:pPr>
        <w:jc w:val="both"/>
      </w:pPr>
    </w:p>
    <w:p w:rsidR="00064487" w:rsidRPr="000317C3" w:rsidRDefault="00C265E7" w:rsidP="00F35105">
      <w:pPr>
        <w:pStyle w:val="ListParagraph"/>
        <w:numPr>
          <w:ilvl w:val="0"/>
          <w:numId w:val="3"/>
        </w:numPr>
        <w:bidi w:val="0"/>
        <w:ind w:left="284" w:hanging="284"/>
        <w:jc w:val="both"/>
        <w:rPr>
          <w:b/>
          <w:bCs/>
          <w:szCs w:val="24"/>
        </w:rPr>
      </w:pPr>
      <w:r>
        <w:rPr>
          <w:b/>
          <w:bCs/>
          <w:szCs w:val="24"/>
        </w:rPr>
        <w:t>A</w:t>
      </w:r>
      <w:r w:rsidRPr="000317C3">
        <w:rPr>
          <w:b/>
          <w:bCs/>
          <w:szCs w:val="24"/>
        </w:rPr>
        <w:t>rea</w:t>
      </w:r>
      <w:r w:rsidR="00A94E2C">
        <w:rPr>
          <w:b/>
          <w:bCs/>
          <w:szCs w:val="24"/>
        </w:rPr>
        <w:t xml:space="preserve"> </w:t>
      </w:r>
      <w:r>
        <w:rPr>
          <w:b/>
          <w:bCs/>
          <w:szCs w:val="24"/>
        </w:rPr>
        <w:t xml:space="preserve">of </w:t>
      </w:r>
      <w:r w:rsidR="00A94E2C">
        <w:rPr>
          <w:b/>
          <w:bCs/>
          <w:szCs w:val="24"/>
        </w:rPr>
        <w:t>o</w:t>
      </w:r>
      <w:r w:rsidR="00B83B1F" w:rsidRPr="00F70DA4">
        <w:rPr>
          <w:b/>
          <w:bCs/>
          <w:szCs w:val="24"/>
        </w:rPr>
        <w:t>ccupied</w:t>
      </w:r>
      <w:r w:rsidR="00B83B1F" w:rsidRPr="000317C3">
        <w:rPr>
          <w:b/>
          <w:bCs/>
          <w:szCs w:val="24"/>
        </w:rPr>
        <w:t xml:space="preserve"> </w:t>
      </w:r>
      <w:r w:rsidR="00A94E2C">
        <w:rPr>
          <w:b/>
          <w:bCs/>
          <w:szCs w:val="24"/>
        </w:rPr>
        <w:t>h</w:t>
      </w:r>
      <w:r w:rsidR="00064487" w:rsidRPr="000317C3">
        <w:rPr>
          <w:b/>
          <w:bCs/>
          <w:szCs w:val="24"/>
        </w:rPr>
        <w:t xml:space="preserve">ousing unit </w:t>
      </w:r>
    </w:p>
    <w:p w:rsidR="00064487" w:rsidRDefault="00064487" w:rsidP="000006EB">
      <w:pPr>
        <w:jc w:val="lowKashida"/>
        <w:rPr>
          <w:lang w:eastAsia="ar-SA"/>
        </w:rPr>
      </w:pPr>
      <w:r w:rsidRPr="000317C3">
        <w:rPr>
          <w:lang w:eastAsia="ar-SA"/>
        </w:rPr>
        <w:t>The average of housing unit area in Palestine is 129.7 m</w:t>
      </w:r>
      <w:r w:rsidRPr="003F0CE4">
        <w:rPr>
          <w:vertAlign w:val="superscript"/>
          <w:lang w:eastAsia="ar-SA"/>
        </w:rPr>
        <w:t>2</w:t>
      </w:r>
      <w:r w:rsidR="004D6132">
        <w:rPr>
          <w:lang w:val="en-US" w:eastAsia="ar-SA"/>
        </w:rPr>
        <w:t>.</w:t>
      </w:r>
      <w:r w:rsidR="004D6132" w:rsidRPr="000317C3">
        <w:rPr>
          <w:lang w:eastAsia="ar-SA"/>
        </w:rPr>
        <w:t xml:space="preserve"> </w:t>
      </w:r>
      <w:r w:rsidR="00FF47E7">
        <w:rPr>
          <w:lang w:val="en-US" w:eastAsia="ar-SA"/>
        </w:rPr>
        <w:t xml:space="preserve">and </w:t>
      </w:r>
      <w:r w:rsidRPr="000317C3">
        <w:rPr>
          <w:lang w:eastAsia="ar-SA"/>
        </w:rPr>
        <w:t xml:space="preserve">the average housing unit area in the West Bank is higher than that it is in Gaza Strip. This is </w:t>
      </w:r>
      <w:r w:rsidR="00FF47E7">
        <w:rPr>
          <w:lang w:val="en-US" w:eastAsia="ar-SA"/>
        </w:rPr>
        <w:t>normal</w:t>
      </w:r>
      <w:r w:rsidRPr="000317C3">
        <w:rPr>
          <w:lang w:eastAsia="ar-SA"/>
        </w:rPr>
        <w:t>; because of the large area of ​​the West Bank, the spread of rural housing</w:t>
      </w:r>
      <w:r w:rsidR="000006EB">
        <w:rPr>
          <w:lang w:val="en-US" w:eastAsia="ar-SA"/>
        </w:rPr>
        <w:t xml:space="preserve"> unit</w:t>
      </w:r>
      <w:r w:rsidR="00CD21D3">
        <w:rPr>
          <w:lang w:val="en-US" w:eastAsia="ar-SA"/>
        </w:rPr>
        <w:t xml:space="preserve"> </w:t>
      </w:r>
      <w:r w:rsidRPr="000317C3">
        <w:rPr>
          <w:lang w:eastAsia="ar-SA"/>
        </w:rPr>
        <w:t>and the low price of land compared to Gaza Strip. The average of housing unit area in the West Bank ranges from 132.5 m</w:t>
      </w:r>
      <w:r w:rsidRPr="003F0CE4">
        <w:rPr>
          <w:vertAlign w:val="superscript"/>
          <w:lang w:eastAsia="ar-SA"/>
        </w:rPr>
        <w:t>2</w:t>
      </w:r>
      <w:r w:rsidRPr="000317C3">
        <w:rPr>
          <w:lang w:eastAsia="ar-SA"/>
        </w:rPr>
        <w:t xml:space="preserve"> </w:t>
      </w:r>
      <w:r w:rsidR="000006EB">
        <w:rPr>
          <w:lang w:val="en-US" w:eastAsia="ar-SA"/>
        </w:rPr>
        <w:t xml:space="preserve">, </w:t>
      </w:r>
      <w:r w:rsidRPr="000317C3">
        <w:rPr>
          <w:lang w:eastAsia="ar-SA"/>
        </w:rPr>
        <w:t>125.1 m</w:t>
      </w:r>
      <w:r w:rsidRPr="003F0CE4">
        <w:rPr>
          <w:vertAlign w:val="superscript"/>
          <w:lang w:eastAsia="ar-SA"/>
        </w:rPr>
        <w:t>2</w:t>
      </w:r>
      <w:r w:rsidR="00CD21D3">
        <w:rPr>
          <w:lang w:val="en-US" w:eastAsia="ar-SA"/>
        </w:rPr>
        <w:t>,</w:t>
      </w:r>
      <w:r w:rsidRPr="00064487">
        <w:rPr>
          <w:lang w:eastAsia="ar-SA"/>
        </w:rPr>
        <w:t xml:space="preserve"> </w:t>
      </w:r>
      <w:r w:rsidR="00FF47E7" w:rsidRPr="00FF47E7">
        <w:rPr>
          <w:lang w:eastAsia="ar-SA"/>
        </w:rPr>
        <w:t>respectively</w:t>
      </w:r>
      <w:r w:rsidRPr="000317C3">
        <w:rPr>
          <w:lang w:eastAsia="ar-SA"/>
        </w:rPr>
        <w:t>. The highest average housing</w:t>
      </w:r>
      <w:r w:rsidR="00B911D9">
        <w:rPr>
          <w:lang w:val="en-US" w:eastAsia="ar-SA"/>
        </w:rPr>
        <w:t xml:space="preserve"> unit</w:t>
      </w:r>
      <w:r w:rsidRPr="000317C3">
        <w:rPr>
          <w:lang w:eastAsia="ar-SA"/>
        </w:rPr>
        <w:t xml:space="preserve"> area in Palestine is in the </w:t>
      </w:r>
      <w:r w:rsidR="00803EC4" w:rsidRPr="000317C3">
        <w:rPr>
          <w:lang w:eastAsia="ar-SA"/>
        </w:rPr>
        <w:t xml:space="preserve">rural </w:t>
      </w:r>
      <w:r w:rsidRPr="000317C3">
        <w:rPr>
          <w:lang w:eastAsia="ar-SA"/>
        </w:rPr>
        <w:t xml:space="preserve">areas, then for the </w:t>
      </w:r>
      <w:r w:rsidR="006A1147" w:rsidRPr="000317C3">
        <w:rPr>
          <w:lang w:eastAsia="ar-SA"/>
        </w:rPr>
        <w:t xml:space="preserve">urban </w:t>
      </w:r>
      <w:r w:rsidRPr="000317C3">
        <w:rPr>
          <w:lang w:eastAsia="ar-SA"/>
        </w:rPr>
        <w:t xml:space="preserve">area, and finally for camps. </w:t>
      </w:r>
      <w:r w:rsidRPr="000317C3">
        <w:rPr>
          <w:rFonts w:hint="cs"/>
          <w:rtl/>
          <w:lang w:eastAsia="ar-SA"/>
        </w:rPr>
        <w:t xml:space="preserve"> </w:t>
      </w:r>
      <w:r w:rsidRPr="000317C3">
        <w:rPr>
          <w:lang w:eastAsia="ar-SA"/>
        </w:rPr>
        <w:t>This indicates that the camps suffer more of less housing unit area.  As for urban centers</w:t>
      </w:r>
      <w:r w:rsidR="00CD21D3">
        <w:rPr>
          <w:lang w:val="en-US" w:eastAsia="ar-SA"/>
        </w:rPr>
        <w:t>,</w:t>
      </w:r>
      <w:r w:rsidRPr="000317C3">
        <w:rPr>
          <w:lang w:eastAsia="ar-SA"/>
        </w:rPr>
        <w:t xml:space="preserve"> they suffer less</w:t>
      </w:r>
      <w:r w:rsidR="00CD21D3">
        <w:rPr>
          <w:lang w:val="en-US" w:eastAsia="ar-SA"/>
        </w:rPr>
        <w:t>. I</w:t>
      </w:r>
      <w:r w:rsidRPr="000317C3">
        <w:rPr>
          <w:lang w:eastAsia="ar-SA"/>
        </w:rPr>
        <w:t xml:space="preserve">t is noticeable that the housing space – i.e., spaces between neighbors in Palestine </w:t>
      </w:r>
      <w:r w:rsidR="007B1C21" w:rsidRPr="000317C3">
        <w:rPr>
          <w:lang w:eastAsia="ar-SA"/>
        </w:rPr>
        <w:t>–</w:t>
      </w:r>
      <w:r w:rsidRPr="000317C3">
        <w:rPr>
          <w:lang w:eastAsia="ar-SA"/>
        </w:rPr>
        <w:t xml:space="preserve"> is not sufficient, especially in refugee camps, old areas and popular neighborhoods. This leads to convergence between residential </w:t>
      </w:r>
      <w:r w:rsidRPr="000317C3">
        <w:rPr>
          <w:lang w:eastAsia="ar-SA"/>
        </w:rPr>
        <w:lastRenderedPageBreak/>
        <w:t>buildings which results in noise, loss of privacy, lack of ventilation and insolation. This is due to the pattern of unplanned construction and the absence of laws and regulations to regulate buildings, particularly in camps, slums and old areas.</w:t>
      </w:r>
    </w:p>
    <w:p w:rsidR="00207327" w:rsidRPr="000317C3" w:rsidRDefault="00207327" w:rsidP="000006EB">
      <w:pPr>
        <w:jc w:val="lowKashida"/>
        <w:rPr>
          <w:lang w:eastAsia="ar-SA"/>
        </w:rPr>
      </w:pPr>
    </w:p>
    <w:p w:rsidR="00064487" w:rsidRPr="000317C3" w:rsidRDefault="00F35105" w:rsidP="00A94E2C">
      <w:pPr>
        <w:pStyle w:val="ListParagraph"/>
        <w:numPr>
          <w:ilvl w:val="0"/>
          <w:numId w:val="3"/>
        </w:numPr>
        <w:bidi w:val="0"/>
        <w:ind w:left="284" w:hanging="284"/>
        <w:jc w:val="both"/>
        <w:rPr>
          <w:b/>
          <w:bCs/>
          <w:szCs w:val="24"/>
        </w:rPr>
      </w:pPr>
      <w:r>
        <w:rPr>
          <w:b/>
          <w:bCs/>
          <w:szCs w:val="24"/>
        </w:rPr>
        <w:t>P</w:t>
      </w:r>
      <w:r w:rsidR="00064487" w:rsidRPr="000317C3">
        <w:rPr>
          <w:b/>
          <w:bCs/>
          <w:szCs w:val="24"/>
        </w:rPr>
        <w:t>er capita of the available space inside the</w:t>
      </w:r>
      <w:r w:rsidR="00B72D7E" w:rsidRPr="00B72D7E">
        <w:rPr>
          <w:b/>
          <w:bCs/>
          <w:szCs w:val="24"/>
        </w:rPr>
        <w:t xml:space="preserve"> </w:t>
      </w:r>
      <w:r w:rsidR="00A94E2C">
        <w:rPr>
          <w:b/>
          <w:bCs/>
          <w:szCs w:val="24"/>
        </w:rPr>
        <w:t>o</w:t>
      </w:r>
      <w:r w:rsidR="00B72D7E" w:rsidRPr="00F70DA4">
        <w:rPr>
          <w:b/>
          <w:bCs/>
          <w:szCs w:val="24"/>
        </w:rPr>
        <w:t>ccupied</w:t>
      </w:r>
      <w:r w:rsidR="00064487" w:rsidRPr="000317C3">
        <w:rPr>
          <w:b/>
          <w:bCs/>
          <w:szCs w:val="24"/>
        </w:rPr>
        <w:t xml:space="preserve"> housing unit</w:t>
      </w:r>
    </w:p>
    <w:p w:rsidR="00064487" w:rsidRPr="000317C3" w:rsidRDefault="00064487" w:rsidP="003931A4">
      <w:pPr>
        <w:jc w:val="lowKashida"/>
        <w:rPr>
          <w:lang w:eastAsia="ar-SA"/>
        </w:rPr>
      </w:pPr>
      <w:r w:rsidRPr="000317C3">
        <w:rPr>
          <w:lang w:eastAsia="ar-SA"/>
        </w:rPr>
        <w:t>The average per capita of the available space inside the housing unit in Palestine is appropriate compared to international standards, as it amounted to 25.4m</w:t>
      </w:r>
      <w:r w:rsidRPr="003F0CE4">
        <w:rPr>
          <w:vertAlign w:val="superscript"/>
          <w:lang w:eastAsia="ar-SA"/>
        </w:rPr>
        <w:t>2</w:t>
      </w:r>
      <w:r w:rsidRPr="000317C3">
        <w:rPr>
          <w:lang w:eastAsia="ar-SA"/>
        </w:rPr>
        <w:t>. There is a difference between the West Bank and Gaza Strip, as the per capita in the West Bank is 27.6m</w:t>
      </w:r>
      <w:r w:rsidRPr="003F0CE4">
        <w:rPr>
          <w:vertAlign w:val="superscript"/>
          <w:lang w:eastAsia="ar-SA"/>
        </w:rPr>
        <w:t>2</w:t>
      </w:r>
      <w:r w:rsidRPr="000317C3">
        <w:rPr>
          <w:lang w:eastAsia="ar-SA"/>
        </w:rPr>
        <w:t xml:space="preserve">, while </w:t>
      </w:r>
      <w:r w:rsidR="00E961B4" w:rsidRPr="000317C3">
        <w:rPr>
          <w:lang w:eastAsia="ar-SA"/>
        </w:rPr>
        <w:t>it is 22.3m</w:t>
      </w:r>
      <w:r w:rsidR="00E961B4" w:rsidRPr="003F0CE4">
        <w:rPr>
          <w:vertAlign w:val="superscript"/>
          <w:lang w:eastAsia="ar-SA"/>
        </w:rPr>
        <w:t>2</w:t>
      </w:r>
      <w:r w:rsidR="003F0CE4">
        <w:rPr>
          <w:lang w:val="en-US" w:eastAsia="ar-SA"/>
        </w:rPr>
        <w:t xml:space="preserve"> </w:t>
      </w:r>
      <w:r w:rsidRPr="000317C3">
        <w:rPr>
          <w:lang w:eastAsia="ar-SA"/>
        </w:rPr>
        <w:t>in Gaza Strip. Therefore</w:t>
      </w:r>
      <w:r w:rsidR="00E961B4">
        <w:rPr>
          <w:lang w:val="en-US" w:eastAsia="ar-SA"/>
        </w:rPr>
        <w:t>,</w:t>
      </w:r>
      <w:r w:rsidRPr="000317C3">
        <w:rPr>
          <w:lang w:eastAsia="ar-SA"/>
        </w:rPr>
        <w:t xml:space="preserve"> this falls under the </w:t>
      </w:r>
      <w:r w:rsidR="008D6D60">
        <w:rPr>
          <w:lang w:val="en-US" w:eastAsia="ar-SA"/>
        </w:rPr>
        <w:t>title of</w:t>
      </w:r>
      <w:r w:rsidR="008D6D60" w:rsidRPr="000317C3">
        <w:rPr>
          <w:lang w:eastAsia="ar-SA"/>
        </w:rPr>
        <w:t xml:space="preserve"> </w:t>
      </w:r>
      <w:r w:rsidRPr="000317C3">
        <w:rPr>
          <w:lang w:eastAsia="ar-SA"/>
        </w:rPr>
        <w:t>above-average housing</w:t>
      </w:r>
      <w:r w:rsidR="008D6D60">
        <w:rPr>
          <w:lang w:val="en-US" w:eastAsia="ar-SA"/>
        </w:rPr>
        <w:t>,</w:t>
      </w:r>
      <w:r w:rsidRPr="000317C3">
        <w:rPr>
          <w:lang w:eastAsia="ar-SA"/>
        </w:rPr>
        <w:t xml:space="preserve"> according to the Palestinian standards and the highest standard according to the United Nations standards. This applies to all governorates in the West Bank and Gaza Strip.</w:t>
      </w:r>
    </w:p>
    <w:p w:rsidR="00064487" w:rsidRPr="000317C3" w:rsidRDefault="00064487" w:rsidP="0047146B">
      <w:pPr>
        <w:jc w:val="both"/>
      </w:pPr>
    </w:p>
    <w:p w:rsidR="00064487" w:rsidRPr="000317C3" w:rsidRDefault="00F35105" w:rsidP="00A94E2C">
      <w:pPr>
        <w:pStyle w:val="ListParagraph"/>
        <w:numPr>
          <w:ilvl w:val="0"/>
          <w:numId w:val="3"/>
        </w:numPr>
        <w:bidi w:val="0"/>
        <w:ind w:left="284" w:hanging="284"/>
        <w:jc w:val="both"/>
        <w:rPr>
          <w:b/>
          <w:bCs/>
          <w:szCs w:val="24"/>
        </w:rPr>
      </w:pPr>
      <w:r>
        <w:rPr>
          <w:b/>
          <w:bCs/>
          <w:szCs w:val="24"/>
        </w:rPr>
        <w:t>T</w:t>
      </w:r>
      <w:r w:rsidR="00064487" w:rsidRPr="000317C3">
        <w:rPr>
          <w:b/>
          <w:bCs/>
          <w:szCs w:val="24"/>
        </w:rPr>
        <w:t xml:space="preserve">enure of </w:t>
      </w:r>
      <w:r w:rsidR="00A94E2C">
        <w:rPr>
          <w:b/>
          <w:bCs/>
          <w:szCs w:val="24"/>
        </w:rPr>
        <w:t>o</w:t>
      </w:r>
      <w:r w:rsidR="00B72D7E" w:rsidRPr="00F70DA4">
        <w:rPr>
          <w:b/>
          <w:bCs/>
          <w:szCs w:val="24"/>
        </w:rPr>
        <w:t>ccupied</w:t>
      </w:r>
      <w:r w:rsidR="00B72D7E" w:rsidRPr="000317C3">
        <w:rPr>
          <w:b/>
          <w:bCs/>
          <w:szCs w:val="24"/>
        </w:rPr>
        <w:t xml:space="preserve"> </w:t>
      </w:r>
      <w:r w:rsidR="00064487" w:rsidRPr="000317C3">
        <w:rPr>
          <w:b/>
          <w:bCs/>
          <w:szCs w:val="24"/>
        </w:rPr>
        <w:t>housing unit</w:t>
      </w:r>
    </w:p>
    <w:p w:rsidR="00064487" w:rsidRDefault="00064487" w:rsidP="00B72D7E">
      <w:pPr>
        <w:jc w:val="lowKashida"/>
        <w:rPr>
          <w:lang w:eastAsia="ar-SA"/>
        </w:rPr>
      </w:pPr>
      <w:r w:rsidRPr="000317C3">
        <w:rPr>
          <w:lang w:eastAsia="ar-SA"/>
        </w:rPr>
        <w:t xml:space="preserve">Most of </w:t>
      </w:r>
      <w:bookmarkStart w:id="9" w:name="_Hlk39672685"/>
      <w:r w:rsidRPr="000317C3">
        <w:rPr>
          <w:lang w:eastAsia="ar-SA"/>
        </w:rPr>
        <w:t xml:space="preserve">households </w:t>
      </w:r>
      <w:bookmarkEnd w:id="9"/>
      <w:r w:rsidRPr="000317C3">
        <w:rPr>
          <w:lang w:eastAsia="ar-SA"/>
        </w:rPr>
        <w:t xml:space="preserve">in Palestine reside in housing units owned by the one of </w:t>
      </w:r>
      <w:r w:rsidR="00B72D7E" w:rsidRPr="000317C3">
        <w:rPr>
          <w:lang w:eastAsia="ar-SA"/>
        </w:rPr>
        <w:t xml:space="preserve">households </w:t>
      </w:r>
      <w:r w:rsidRPr="000317C3">
        <w:rPr>
          <w:lang w:eastAsia="ar-SA"/>
        </w:rPr>
        <w:t xml:space="preserve">members. This percentage constitutes 84.6% of the total households in Palestine, which is a high percentage compared to the international percentages of ownership. The </w:t>
      </w:r>
      <w:bookmarkStart w:id="10" w:name="_Hlk39672876"/>
      <w:r w:rsidRPr="000317C3">
        <w:rPr>
          <w:lang w:eastAsia="ar-SA"/>
        </w:rPr>
        <w:t xml:space="preserve">households </w:t>
      </w:r>
      <w:bookmarkEnd w:id="10"/>
      <w:r w:rsidRPr="000317C3">
        <w:rPr>
          <w:lang w:eastAsia="ar-SA"/>
        </w:rPr>
        <w:t>that live in a rented furnished and unfurnished housing units come in the second rank with 8.4% of the total households in Palestine. This category constituted 9.4% of the</w:t>
      </w:r>
      <w:r w:rsidR="00FD504C">
        <w:rPr>
          <w:lang w:val="en-US" w:eastAsia="ar-SA"/>
        </w:rPr>
        <w:t xml:space="preserve"> </w:t>
      </w:r>
      <w:r w:rsidR="00FD504C" w:rsidRPr="000317C3">
        <w:rPr>
          <w:lang w:eastAsia="ar-SA"/>
        </w:rPr>
        <w:t>the total</w:t>
      </w:r>
      <w:r w:rsidRPr="000317C3">
        <w:rPr>
          <w:lang w:eastAsia="ar-SA"/>
        </w:rPr>
        <w:t xml:space="preserve"> </w:t>
      </w:r>
      <w:r w:rsidR="00FD504C" w:rsidRPr="000317C3">
        <w:rPr>
          <w:lang w:eastAsia="ar-SA"/>
        </w:rPr>
        <w:t xml:space="preserve">households </w:t>
      </w:r>
      <w:r w:rsidR="00FD504C">
        <w:rPr>
          <w:lang w:val="en-US" w:eastAsia="ar-SA"/>
        </w:rPr>
        <w:t xml:space="preserve">in the </w:t>
      </w:r>
      <w:r w:rsidRPr="000317C3">
        <w:rPr>
          <w:lang w:eastAsia="ar-SA"/>
        </w:rPr>
        <w:t>West Bank, and about 6.5% of the households in Gaza Strip.</w:t>
      </w:r>
    </w:p>
    <w:p w:rsidR="0047146B" w:rsidRPr="000317C3" w:rsidRDefault="0047146B" w:rsidP="0047146B">
      <w:pPr>
        <w:jc w:val="lowKashida"/>
        <w:rPr>
          <w:lang w:eastAsia="ar-SA"/>
        </w:rPr>
      </w:pPr>
    </w:p>
    <w:p w:rsidR="00064487" w:rsidRPr="000317C3" w:rsidRDefault="00F35105" w:rsidP="00A94E2C">
      <w:pPr>
        <w:pStyle w:val="ListParagraph"/>
        <w:numPr>
          <w:ilvl w:val="0"/>
          <w:numId w:val="3"/>
        </w:numPr>
        <w:bidi w:val="0"/>
        <w:ind w:left="284" w:hanging="284"/>
        <w:jc w:val="both"/>
        <w:rPr>
          <w:b/>
          <w:bCs/>
          <w:szCs w:val="24"/>
        </w:rPr>
      </w:pPr>
      <w:r>
        <w:rPr>
          <w:b/>
          <w:bCs/>
          <w:szCs w:val="24"/>
        </w:rPr>
        <w:t>O</w:t>
      </w:r>
      <w:r w:rsidR="00A0175E" w:rsidRPr="00F70DA4">
        <w:rPr>
          <w:b/>
          <w:bCs/>
          <w:szCs w:val="24"/>
        </w:rPr>
        <w:t>ccupied</w:t>
      </w:r>
      <w:r w:rsidR="00064487" w:rsidRPr="000317C3">
        <w:rPr>
          <w:b/>
          <w:bCs/>
          <w:szCs w:val="24"/>
        </w:rPr>
        <w:t xml:space="preserve"> housing unit price to the household income</w:t>
      </w:r>
    </w:p>
    <w:p w:rsidR="00064487" w:rsidRPr="000317C3" w:rsidRDefault="00A0175E" w:rsidP="00A0175E">
      <w:pPr>
        <w:jc w:val="lowKashida"/>
        <w:rPr>
          <w:lang w:eastAsia="ar-SA"/>
        </w:rPr>
      </w:pPr>
      <w:r>
        <w:rPr>
          <w:lang w:val="en-US" w:eastAsia="ar-SA"/>
        </w:rPr>
        <w:t>A</w:t>
      </w:r>
      <w:r w:rsidRPr="000317C3">
        <w:rPr>
          <w:lang w:eastAsia="ar-SA"/>
        </w:rPr>
        <w:t xml:space="preserve">bout </w:t>
      </w:r>
      <w:r w:rsidR="00064487" w:rsidRPr="000317C3">
        <w:rPr>
          <w:lang w:eastAsia="ar-SA"/>
        </w:rPr>
        <w:t>70</w:t>
      </w:r>
      <w:r w:rsidR="008461AB">
        <w:rPr>
          <w:lang w:val="en-US" w:eastAsia="ar-SA"/>
        </w:rPr>
        <w:t>.1</w:t>
      </w:r>
      <w:r w:rsidR="00064487" w:rsidRPr="000317C3">
        <w:rPr>
          <w:lang w:eastAsia="ar-SA"/>
        </w:rPr>
        <w:t xml:space="preserve">% of the </w:t>
      </w:r>
      <w:bookmarkStart w:id="11" w:name="_Hlk39673604"/>
      <w:r w:rsidR="00064487" w:rsidRPr="000317C3">
        <w:rPr>
          <w:lang w:eastAsia="ar-SA"/>
        </w:rPr>
        <w:t xml:space="preserve">households </w:t>
      </w:r>
      <w:bookmarkEnd w:id="11"/>
      <w:r w:rsidR="00064487" w:rsidRPr="000317C3">
        <w:rPr>
          <w:lang w:eastAsia="ar-SA"/>
        </w:rPr>
        <w:t xml:space="preserve">cannot build a housing unit, while the group that can build one housing unit amounted to about a quarter of the population. As for the households who can build two </w:t>
      </w:r>
      <w:r w:rsidR="003931A4">
        <w:rPr>
          <w:lang w:val="en-US" w:eastAsia="ar-SA"/>
        </w:rPr>
        <w:t xml:space="preserve">housing </w:t>
      </w:r>
      <w:r w:rsidR="00064487" w:rsidRPr="000317C3">
        <w:rPr>
          <w:lang w:eastAsia="ar-SA"/>
        </w:rPr>
        <w:t>units or more constitute only 4</w:t>
      </w:r>
      <w:r w:rsidR="00FE1865">
        <w:rPr>
          <w:lang w:val="en-US" w:eastAsia="ar-SA"/>
        </w:rPr>
        <w:t>.1</w:t>
      </w:r>
      <w:r w:rsidR="00064487" w:rsidRPr="000317C3">
        <w:rPr>
          <w:lang w:eastAsia="ar-SA"/>
        </w:rPr>
        <w:t>%. This indicator is negative in Palestine</w:t>
      </w:r>
      <w:r w:rsidR="00BE407A">
        <w:rPr>
          <w:lang w:val="en-US" w:eastAsia="ar-SA"/>
        </w:rPr>
        <w:t xml:space="preserve"> </w:t>
      </w:r>
      <w:r w:rsidR="00064487" w:rsidRPr="000317C3">
        <w:rPr>
          <w:lang w:eastAsia="ar-SA"/>
        </w:rPr>
        <w:t>although it is worse in Gaza Strip compared to the West Bank.</w:t>
      </w:r>
    </w:p>
    <w:p w:rsidR="007525BA" w:rsidRDefault="007525BA" w:rsidP="0047146B">
      <w:pPr>
        <w:jc w:val="both"/>
      </w:pPr>
    </w:p>
    <w:p w:rsidR="00064487" w:rsidRPr="000317C3" w:rsidRDefault="00064487" w:rsidP="0047146B">
      <w:pPr>
        <w:jc w:val="both"/>
        <w:rPr>
          <w:b/>
          <w:bCs/>
        </w:rPr>
      </w:pPr>
      <w:r w:rsidRPr="000317C3">
        <w:rPr>
          <w:b/>
          <w:bCs/>
        </w:rPr>
        <w:t>Infrastructure indicators</w:t>
      </w:r>
    </w:p>
    <w:p w:rsidR="00064487" w:rsidRPr="000317C3" w:rsidRDefault="00F35105" w:rsidP="0047146B">
      <w:pPr>
        <w:pStyle w:val="ListParagraph"/>
        <w:numPr>
          <w:ilvl w:val="0"/>
          <w:numId w:val="3"/>
        </w:numPr>
        <w:bidi w:val="0"/>
        <w:ind w:left="284" w:hanging="284"/>
        <w:jc w:val="both"/>
        <w:rPr>
          <w:b/>
          <w:bCs/>
          <w:szCs w:val="24"/>
        </w:rPr>
      </w:pPr>
      <w:r>
        <w:rPr>
          <w:b/>
          <w:bCs/>
          <w:szCs w:val="24"/>
        </w:rPr>
        <w:t>A</w:t>
      </w:r>
      <w:r w:rsidR="00064487" w:rsidRPr="000317C3">
        <w:rPr>
          <w:b/>
          <w:bCs/>
          <w:szCs w:val="24"/>
        </w:rPr>
        <w:t xml:space="preserve">ccess to </w:t>
      </w:r>
      <w:bookmarkStart w:id="12" w:name="_Hlk39674453"/>
      <w:r w:rsidR="00064487" w:rsidRPr="000317C3">
        <w:rPr>
          <w:b/>
          <w:bCs/>
          <w:szCs w:val="24"/>
        </w:rPr>
        <w:t xml:space="preserve">drinking </w:t>
      </w:r>
      <w:bookmarkEnd w:id="12"/>
      <w:r w:rsidR="00064487" w:rsidRPr="000317C3">
        <w:rPr>
          <w:b/>
          <w:bCs/>
          <w:szCs w:val="24"/>
        </w:rPr>
        <w:t>water</w:t>
      </w:r>
      <w:r w:rsidR="008461AB">
        <w:rPr>
          <w:rStyle w:val="FootnoteReference"/>
          <w:b/>
          <w:bCs/>
          <w:szCs w:val="24"/>
        </w:rPr>
        <w:footnoteReference w:id="2"/>
      </w:r>
      <w:r w:rsidR="00064487" w:rsidRPr="000317C3">
        <w:rPr>
          <w:b/>
          <w:bCs/>
          <w:szCs w:val="24"/>
        </w:rPr>
        <w:t xml:space="preserve"> </w:t>
      </w:r>
    </w:p>
    <w:p w:rsidR="00064487" w:rsidRDefault="00064487" w:rsidP="0047146B">
      <w:pPr>
        <w:jc w:val="lowKashida"/>
        <w:rPr>
          <w:lang w:val="en-US" w:eastAsia="ar-SA"/>
        </w:rPr>
      </w:pPr>
      <w:r w:rsidRPr="000317C3">
        <w:rPr>
          <w:lang w:eastAsia="ar-SA"/>
        </w:rPr>
        <w:t>The households that depend on the piped into dwelling in Palestine are about 57</w:t>
      </w:r>
      <w:r w:rsidR="003A5174">
        <w:rPr>
          <w:lang w:val="en-US" w:eastAsia="ar-SA"/>
        </w:rPr>
        <w:t>.0</w:t>
      </w:r>
      <w:r w:rsidRPr="000317C3">
        <w:rPr>
          <w:lang w:eastAsia="ar-SA"/>
        </w:rPr>
        <w:t>% of the total households</w:t>
      </w:r>
      <w:r w:rsidR="002C490F">
        <w:rPr>
          <w:lang w:val="en-US" w:eastAsia="ar-SA"/>
        </w:rPr>
        <w:t>. T</w:t>
      </w:r>
      <w:r w:rsidRPr="000317C3">
        <w:rPr>
          <w:lang w:eastAsia="ar-SA"/>
        </w:rPr>
        <w:t>his percentage in the West Bank reached 88.1% and 7.8% in Gaza Strip</w:t>
      </w:r>
      <w:r w:rsidR="0049571E">
        <w:rPr>
          <w:lang w:val="en-US" w:eastAsia="ar-SA"/>
        </w:rPr>
        <w:t>.</w:t>
      </w:r>
      <w:r w:rsidRPr="000317C3">
        <w:rPr>
          <w:lang w:eastAsia="ar-SA"/>
        </w:rPr>
        <w:t xml:space="preserve"> This indicates</w:t>
      </w:r>
      <w:r w:rsidR="007E63AA">
        <w:rPr>
          <w:lang w:val="en-US" w:eastAsia="ar-SA"/>
        </w:rPr>
        <w:t xml:space="preserve"> </w:t>
      </w:r>
      <w:r w:rsidRPr="000317C3">
        <w:rPr>
          <w:lang w:eastAsia="ar-SA"/>
        </w:rPr>
        <w:t>the extent of suffering faced by the residents of Gaza Strip in providing drinking water through the public network. The percentage of households that obtain drinking water through buying them from fresh water vendors’ tanks in Palestine is 36.8%; 4.6% in the West Bank</w:t>
      </w:r>
      <w:r w:rsidR="00261EE4">
        <w:rPr>
          <w:lang w:val="en-US" w:eastAsia="ar-SA"/>
        </w:rPr>
        <w:t>. It</w:t>
      </w:r>
      <w:r w:rsidRPr="000317C3">
        <w:rPr>
          <w:lang w:eastAsia="ar-SA"/>
        </w:rPr>
        <w:t xml:space="preserve"> is a </w:t>
      </w:r>
      <w:r w:rsidR="00261EE4">
        <w:rPr>
          <w:lang w:val="en-US" w:eastAsia="ar-SA"/>
        </w:rPr>
        <w:t>low</w:t>
      </w:r>
      <w:r w:rsidR="00261EE4" w:rsidRPr="000317C3">
        <w:rPr>
          <w:lang w:eastAsia="ar-SA"/>
        </w:rPr>
        <w:t xml:space="preserve"> </w:t>
      </w:r>
      <w:r w:rsidRPr="000317C3">
        <w:rPr>
          <w:lang w:eastAsia="ar-SA"/>
        </w:rPr>
        <w:t xml:space="preserve">percentage compared to Gaza Strip whose percentage is 87.9%. </w:t>
      </w:r>
      <w:r w:rsidR="00261EE4" w:rsidRPr="000317C3">
        <w:rPr>
          <w:lang w:eastAsia="ar-SA"/>
        </w:rPr>
        <w:t>Th</w:t>
      </w:r>
      <w:r w:rsidR="00261EE4">
        <w:rPr>
          <w:lang w:val="en-US" w:eastAsia="ar-SA"/>
        </w:rPr>
        <w:t>us, thi</w:t>
      </w:r>
      <w:r w:rsidR="00261EE4" w:rsidRPr="000317C3">
        <w:rPr>
          <w:lang w:eastAsia="ar-SA"/>
        </w:rPr>
        <w:t xml:space="preserve">s </w:t>
      </w:r>
      <w:r w:rsidRPr="000317C3">
        <w:rPr>
          <w:lang w:eastAsia="ar-SA"/>
        </w:rPr>
        <w:t>requires additional financial burdens on the population of Gaza Strip despite the low standard of living</w:t>
      </w:r>
      <w:r w:rsidR="00CB5A97">
        <w:rPr>
          <w:lang w:val="en-US" w:eastAsia="ar-SA"/>
        </w:rPr>
        <w:t>,</w:t>
      </w:r>
      <w:r w:rsidRPr="000317C3">
        <w:rPr>
          <w:lang w:eastAsia="ar-SA"/>
        </w:rPr>
        <w:t xml:space="preserve"> high poverty and unemployment.</w:t>
      </w:r>
    </w:p>
    <w:p w:rsidR="00545FA6" w:rsidRPr="00545FA6" w:rsidRDefault="00545FA6" w:rsidP="0047146B">
      <w:pPr>
        <w:jc w:val="lowKashida"/>
        <w:rPr>
          <w:lang w:val="en-US" w:eastAsia="ar-SA"/>
        </w:rPr>
      </w:pPr>
    </w:p>
    <w:p w:rsidR="00064487" w:rsidRPr="000317C3" w:rsidRDefault="00F35105" w:rsidP="0047146B">
      <w:pPr>
        <w:pStyle w:val="ListParagraph"/>
        <w:numPr>
          <w:ilvl w:val="0"/>
          <w:numId w:val="3"/>
        </w:numPr>
        <w:bidi w:val="0"/>
        <w:ind w:left="284" w:hanging="284"/>
        <w:jc w:val="both"/>
        <w:rPr>
          <w:b/>
          <w:bCs/>
          <w:szCs w:val="24"/>
        </w:rPr>
      </w:pPr>
      <w:r>
        <w:rPr>
          <w:b/>
          <w:bCs/>
          <w:szCs w:val="24"/>
        </w:rPr>
        <w:t>T</w:t>
      </w:r>
      <w:r w:rsidR="00064487" w:rsidRPr="000317C3">
        <w:rPr>
          <w:b/>
          <w:bCs/>
          <w:szCs w:val="24"/>
        </w:rPr>
        <w:t xml:space="preserve">ype of </w:t>
      </w:r>
      <w:bookmarkStart w:id="13" w:name="_Hlk39677378"/>
      <w:r w:rsidR="00064487" w:rsidRPr="000317C3">
        <w:rPr>
          <w:b/>
          <w:bCs/>
          <w:szCs w:val="24"/>
        </w:rPr>
        <w:t xml:space="preserve">Toilet </w:t>
      </w:r>
      <w:bookmarkEnd w:id="13"/>
      <w:r w:rsidR="00064487" w:rsidRPr="000317C3">
        <w:rPr>
          <w:b/>
          <w:bCs/>
          <w:szCs w:val="24"/>
        </w:rPr>
        <w:t>Facility used by the Household</w:t>
      </w:r>
    </w:p>
    <w:p w:rsidR="00064487" w:rsidRPr="000317C3" w:rsidRDefault="00064487" w:rsidP="009D7D73">
      <w:pPr>
        <w:jc w:val="lowKashida"/>
        <w:rPr>
          <w:lang w:eastAsia="ar-SA"/>
        </w:rPr>
      </w:pPr>
      <w:r w:rsidRPr="000317C3">
        <w:rPr>
          <w:lang w:eastAsia="ar-SA"/>
        </w:rPr>
        <w:t xml:space="preserve">The housing units </w:t>
      </w:r>
      <w:bookmarkStart w:id="14" w:name="_Hlk39677552"/>
      <w:r w:rsidRPr="000317C3">
        <w:rPr>
          <w:lang w:eastAsia="ar-SA"/>
        </w:rPr>
        <w:t xml:space="preserve">that households used flush </w:t>
      </w:r>
      <w:bookmarkEnd w:id="14"/>
      <w:r w:rsidRPr="000317C3">
        <w:rPr>
          <w:lang w:eastAsia="ar-SA"/>
        </w:rPr>
        <w:t>to piped sewer system in Palestine amounted to 53.9% of the total housing units. This percentage in the West Bank is 34.2</w:t>
      </w:r>
      <w:r w:rsidR="00CB5A97" w:rsidRPr="000317C3">
        <w:rPr>
          <w:lang w:eastAsia="ar-SA"/>
        </w:rPr>
        <w:t>%</w:t>
      </w:r>
      <w:r w:rsidR="00CB5A97">
        <w:rPr>
          <w:lang w:val="en-US" w:eastAsia="ar-SA"/>
        </w:rPr>
        <w:t>. However,</w:t>
      </w:r>
      <w:r w:rsidR="00CB5A97" w:rsidRPr="000317C3">
        <w:rPr>
          <w:lang w:eastAsia="ar-SA"/>
        </w:rPr>
        <w:t xml:space="preserve"> </w:t>
      </w:r>
      <w:r w:rsidRPr="000317C3">
        <w:rPr>
          <w:lang w:eastAsia="ar-SA"/>
        </w:rPr>
        <w:t>Gaza Strip has the highest percentage of 85.3%</w:t>
      </w:r>
      <w:r w:rsidR="00CB5A97" w:rsidRPr="00CB5A97">
        <w:rPr>
          <w:lang w:eastAsia="ar-SA"/>
        </w:rPr>
        <w:t xml:space="preserve"> </w:t>
      </w:r>
      <w:r w:rsidR="00CB5A97" w:rsidRPr="000317C3">
        <w:rPr>
          <w:lang w:eastAsia="ar-SA"/>
        </w:rPr>
        <w:t>of the total housing units</w:t>
      </w:r>
      <w:r w:rsidRPr="000317C3">
        <w:rPr>
          <w:lang w:eastAsia="ar-SA"/>
        </w:rPr>
        <w:t xml:space="preserve">. The percentage of housing units that households used </w:t>
      </w:r>
      <w:r w:rsidR="00CA13C9">
        <w:rPr>
          <w:lang w:val="en-US" w:eastAsia="ar-SA"/>
        </w:rPr>
        <w:t>f</w:t>
      </w:r>
      <w:r w:rsidR="00CA13C9" w:rsidRPr="000317C3">
        <w:rPr>
          <w:lang w:eastAsia="ar-SA"/>
        </w:rPr>
        <w:t xml:space="preserve">lush </w:t>
      </w:r>
      <w:r w:rsidRPr="000317C3">
        <w:rPr>
          <w:lang w:eastAsia="ar-SA"/>
        </w:rPr>
        <w:t xml:space="preserve">to </w:t>
      </w:r>
      <w:bookmarkStart w:id="15" w:name="_Hlk39677895"/>
      <w:bookmarkStart w:id="16" w:name="_Hlk39677828"/>
      <w:r w:rsidRPr="000317C3">
        <w:rPr>
          <w:lang w:eastAsia="ar-SA"/>
        </w:rPr>
        <w:t xml:space="preserve">septic porous tank </w:t>
      </w:r>
      <w:bookmarkEnd w:id="15"/>
      <w:r w:rsidRPr="000317C3">
        <w:rPr>
          <w:lang w:eastAsia="ar-SA"/>
        </w:rPr>
        <w:t xml:space="preserve">or </w:t>
      </w:r>
      <w:r w:rsidR="005A17EE" w:rsidRPr="005A17EE">
        <w:rPr>
          <w:lang w:eastAsia="ar-SA"/>
        </w:rPr>
        <w:t xml:space="preserve">Flush to Septic </w:t>
      </w:r>
      <w:r w:rsidRPr="000317C3">
        <w:rPr>
          <w:lang w:eastAsia="ar-SA"/>
        </w:rPr>
        <w:t xml:space="preserve">tight tank </w:t>
      </w:r>
      <w:bookmarkEnd w:id="16"/>
      <w:r w:rsidRPr="000317C3">
        <w:rPr>
          <w:lang w:eastAsia="ar-SA"/>
        </w:rPr>
        <w:t xml:space="preserve">in Palestine is about 44.5%; 63.3% in the West Bank </w:t>
      </w:r>
      <w:r w:rsidR="00CA13C9">
        <w:rPr>
          <w:lang w:val="en-US" w:eastAsia="ar-SA"/>
        </w:rPr>
        <w:t>and</w:t>
      </w:r>
      <w:r w:rsidR="00CA13C9" w:rsidRPr="000317C3">
        <w:rPr>
          <w:lang w:eastAsia="ar-SA"/>
        </w:rPr>
        <w:t xml:space="preserve"> </w:t>
      </w:r>
      <w:r w:rsidRPr="000317C3">
        <w:rPr>
          <w:lang w:eastAsia="ar-SA"/>
        </w:rPr>
        <w:t xml:space="preserve">14.6% in Gaza Strip. </w:t>
      </w:r>
    </w:p>
    <w:p w:rsidR="00064487" w:rsidRPr="000317C3" w:rsidRDefault="00064487" w:rsidP="0047146B">
      <w:pPr>
        <w:jc w:val="lowKashida"/>
        <w:rPr>
          <w:lang w:eastAsia="ar-SA"/>
        </w:rPr>
      </w:pPr>
    </w:p>
    <w:p w:rsidR="00064487" w:rsidRDefault="00064487" w:rsidP="008B7D46">
      <w:pPr>
        <w:jc w:val="lowKashida"/>
        <w:rPr>
          <w:lang w:eastAsia="ar-SA"/>
        </w:rPr>
      </w:pPr>
      <w:r w:rsidRPr="000317C3">
        <w:rPr>
          <w:lang w:eastAsia="ar-SA"/>
        </w:rPr>
        <w:t>It seems that the lack of a suitable sewage network and</w:t>
      </w:r>
      <w:r w:rsidR="00D661A8">
        <w:rPr>
          <w:lang w:val="en-US" w:eastAsia="ar-SA"/>
        </w:rPr>
        <w:t xml:space="preserve"> the</w:t>
      </w:r>
      <w:r w:rsidRPr="000317C3">
        <w:rPr>
          <w:lang w:eastAsia="ar-SA"/>
        </w:rPr>
        <w:t xml:space="preserve"> low level of tanks le</w:t>
      </w:r>
      <w:r w:rsidR="00D661A8">
        <w:rPr>
          <w:lang w:val="en-US" w:eastAsia="ar-SA"/>
        </w:rPr>
        <w:t>d</w:t>
      </w:r>
      <w:r w:rsidRPr="000317C3">
        <w:rPr>
          <w:lang w:eastAsia="ar-SA"/>
        </w:rPr>
        <w:t xml:space="preserve"> to environmental degradation due to sewage leakage into the groundwater, either through cesspool holes</w:t>
      </w:r>
      <w:r w:rsidR="00D661A8">
        <w:rPr>
          <w:lang w:val="en-US" w:eastAsia="ar-SA"/>
        </w:rPr>
        <w:t>,</w:t>
      </w:r>
      <w:r w:rsidRPr="000317C3">
        <w:rPr>
          <w:lang w:eastAsia="ar-SA"/>
        </w:rPr>
        <w:t xml:space="preserve"> septic porous tank or through open sewage basins. Therefore, the residential </w:t>
      </w:r>
      <w:r w:rsidRPr="000317C3">
        <w:rPr>
          <w:lang w:eastAsia="ar-SA"/>
        </w:rPr>
        <w:lastRenderedPageBreak/>
        <w:t xml:space="preserve">areas that depend on cesspool holes or </w:t>
      </w:r>
      <w:bookmarkStart w:id="17" w:name="_Hlk39678031"/>
      <w:r w:rsidRPr="000317C3">
        <w:rPr>
          <w:lang w:eastAsia="ar-SA"/>
        </w:rPr>
        <w:t xml:space="preserve">septic </w:t>
      </w:r>
      <w:bookmarkEnd w:id="17"/>
      <w:r w:rsidRPr="000317C3">
        <w:rPr>
          <w:lang w:eastAsia="ar-SA"/>
        </w:rPr>
        <w:t>tanks are of grave health hazards that may affect the aquifer while a safe and effective system reduces sewage leakage.</w:t>
      </w:r>
    </w:p>
    <w:p w:rsidR="00A94E2C" w:rsidRPr="000317C3" w:rsidRDefault="00A94E2C" w:rsidP="008B7D46">
      <w:pPr>
        <w:jc w:val="lowKashida"/>
        <w:rPr>
          <w:lang w:eastAsia="ar-SA"/>
        </w:rPr>
      </w:pPr>
    </w:p>
    <w:p w:rsidR="00064487" w:rsidRPr="000317C3" w:rsidRDefault="00F35105" w:rsidP="00A94E2C">
      <w:pPr>
        <w:pStyle w:val="ListParagraph"/>
        <w:numPr>
          <w:ilvl w:val="0"/>
          <w:numId w:val="3"/>
        </w:numPr>
        <w:bidi w:val="0"/>
        <w:ind w:left="284" w:hanging="284"/>
        <w:jc w:val="both"/>
        <w:rPr>
          <w:b/>
          <w:bCs/>
          <w:szCs w:val="24"/>
        </w:rPr>
      </w:pPr>
      <w:r>
        <w:rPr>
          <w:b/>
          <w:bCs/>
          <w:szCs w:val="24"/>
        </w:rPr>
        <w:t>O</w:t>
      </w:r>
      <w:r w:rsidR="00E50961" w:rsidRPr="00F70DA4">
        <w:rPr>
          <w:b/>
          <w:bCs/>
          <w:szCs w:val="24"/>
        </w:rPr>
        <w:t>ccupied</w:t>
      </w:r>
      <w:r w:rsidR="00E50961">
        <w:rPr>
          <w:b/>
          <w:bCs/>
          <w:szCs w:val="24"/>
        </w:rPr>
        <w:t xml:space="preserve"> </w:t>
      </w:r>
      <w:r w:rsidR="008E6C44">
        <w:rPr>
          <w:b/>
          <w:bCs/>
          <w:szCs w:val="24"/>
        </w:rPr>
        <w:t xml:space="preserve">housing units </w:t>
      </w:r>
      <w:r w:rsidR="00064487" w:rsidRPr="000317C3">
        <w:rPr>
          <w:b/>
          <w:bCs/>
          <w:szCs w:val="24"/>
        </w:rPr>
        <w:t>connected to main source of electricity</w:t>
      </w:r>
    </w:p>
    <w:p w:rsidR="00064487" w:rsidRPr="000317C3" w:rsidRDefault="00064487" w:rsidP="008B7D46">
      <w:pPr>
        <w:jc w:val="lowKashida"/>
        <w:rPr>
          <w:lang w:eastAsia="ar-SA"/>
        </w:rPr>
      </w:pPr>
      <w:r w:rsidRPr="000317C3">
        <w:rPr>
          <w:lang w:eastAsia="ar-SA"/>
        </w:rPr>
        <w:t>The percentage of housing units connected to the public electricity network in Palestine was 98.4</w:t>
      </w:r>
      <w:r w:rsidR="001214BF" w:rsidRPr="000317C3">
        <w:rPr>
          <w:lang w:eastAsia="ar-SA"/>
        </w:rPr>
        <w:t>%</w:t>
      </w:r>
      <w:r w:rsidR="001214BF">
        <w:rPr>
          <w:lang w:val="en-US" w:eastAsia="ar-SA"/>
        </w:rPr>
        <w:t>:</w:t>
      </w:r>
      <w:r w:rsidR="008B7D46">
        <w:rPr>
          <w:lang w:eastAsia="ar-SA"/>
        </w:rPr>
        <w:t xml:space="preserve"> 97.5%</w:t>
      </w:r>
      <w:r w:rsidR="003931A4">
        <w:rPr>
          <w:lang w:val="en-US" w:eastAsia="ar-SA"/>
        </w:rPr>
        <w:t xml:space="preserve"> of the total housing units </w:t>
      </w:r>
      <w:r w:rsidRPr="000317C3">
        <w:rPr>
          <w:lang w:eastAsia="ar-SA"/>
        </w:rPr>
        <w:t>in the West Bank</w:t>
      </w:r>
      <w:r w:rsidR="001214BF">
        <w:rPr>
          <w:lang w:val="en-US" w:eastAsia="ar-SA"/>
        </w:rPr>
        <w:t>.</w:t>
      </w:r>
      <w:r w:rsidRPr="000317C3">
        <w:rPr>
          <w:lang w:eastAsia="ar-SA"/>
        </w:rPr>
        <w:t xml:space="preserve"> Gaza Strip</w:t>
      </w:r>
      <w:r w:rsidR="001214BF">
        <w:rPr>
          <w:lang w:val="en-US" w:eastAsia="ar-SA"/>
        </w:rPr>
        <w:t xml:space="preserve"> has</w:t>
      </w:r>
      <w:r w:rsidRPr="000317C3">
        <w:rPr>
          <w:lang w:eastAsia="ar-SA"/>
        </w:rPr>
        <w:t xml:space="preserve"> </w:t>
      </w:r>
      <w:r w:rsidR="001214BF" w:rsidRPr="000317C3">
        <w:rPr>
          <w:lang w:eastAsia="ar-SA"/>
        </w:rPr>
        <w:t>the highest percentage</w:t>
      </w:r>
      <w:r w:rsidR="001214BF">
        <w:rPr>
          <w:lang w:val="en-US" w:eastAsia="ar-SA"/>
        </w:rPr>
        <w:t>,</w:t>
      </w:r>
      <w:r w:rsidR="001214BF" w:rsidRPr="000317C3">
        <w:rPr>
          <w:lang w:eastAsia="ar-SA"/>
        </w:rPr>
        <w:t xml:space="preserve"> </w:t>
      </w:r>
      <w:r w:rsidRPr="000317C3">
        <w:rPr>
          <w:lang w:eastAsia="ar-SA"/>
        </w:rPr>
        <w:t xml:space="preserve">where it </w:t>
      </w:r>
      <w:r w:rsidR="001214BF">
        <w:rPr>
          <w:lang w:val="en-US" w:eastAsia="ar-SA"/>
        </w:rPr>
        <w:t>reached</w:t>
      </w:r>
      <w:r w:rsidR="001214BF" w:rsidRPr="000317C3">
        <w:rPr>
          <w:lang w:eastAsia="ar-SA"/>
        </w:rPr>
        <w:t xml:space="preserve"> </w:t>
      </w:r>
      <w:r w:rsidRPr="000317C3">
        <w:rPr>
          <w:lang w:eastAsia="ar-SA"/>
        </w:rPr>
        <w:t>99.9%. As for the percentage of housing units connected to a private generator</w:t>
      </w:r>
      <w:r w:rsidR="001214BF">
        <w:rPr>
          <w:lang w:val="en-US" w:eastAsia="ar-SA"/>
        </w:rPr>
        <w:t>, it</w:t>
      </w:r>
      <w:r w:rsidRPr="000317C3">
        <w:rPr>
          <w:lang w:eastAsia="ar-SA"/>
        </w:rPr>
        <w:t xml:space="preserve"> was less than 1% in the West Bank and Gaza Strip. The percentage in the other governorates ranged from (0.8</w:t>
      </w:r>
      <w:r w:rsidR="003931A4" w:rsidRPr="000317C3">
        <w:rPr>
          <w:lang w:eastAsia="ar-SA"/>
        </w:rPr>
        <w:t>%</w:t>
      </w:r>
      <w:r w:rsidRPr="000317C3">
        <w:rPr>
          <w:lang w:eastAsia="ar-SA"/>
        </w:rPr>
        <w:t xml:space="preserve"> to 10.5%).</w:t>
      </w:r>
    </w:p>
    <w:p w:rsidR="00064487" w:rsidRPr="000317C3" w:rsidRDefault="00064487" w:rsidP="0047146B">
      <w:pPr>
        <w:jc w:val="both"/>
      </w:pPr>
    </w:p>
    <w:p w:rsidR="00064487" w:rsidRPr="000317C3" w:rsidRDefault="00F35105" w:rsidP="0047146B">
      <w:pPr>
        <w:pStyle w:val="ListParagraph"/>
        <w:numPr>
          <w:ilvl w:val="0"/>
          <w:numId w:val="3"/>
        </w:numPr>
        <w:bidi w:val="0"/>
        <w:ind w:left="284" w:hanging="284"/>
        <w:jc w:val="both"/>
        <w:rPr>
          <w:b/>
          <w:bCs/>
          <w:szCs w:val="24"/>
        </w:rPr>
      </w:pPr>
      <w:r>
        <w:rPr>
          <w:b/>
          <w:bCs/>
          <w:szCs w:val="24"/>
        </w:rPr>
        <w:t>S</w:t>
      </w:r>
      <w:r w:rsidR="00064487" w:rsidRPr="000317C3">
        <w:rPr>
          <w:b/>
          <w:bCs/>
          <w:szCs w:val="24"/>
        </w:rPr>
        <w:t>anitation and public health services</w:t>
      </w:r>
    </w:p>
    <w:p w:rsidR="00064487" w:rsidRPr="000317C3" w:rsidRDefault="00064487" w:rsidP="0047146B">
      <w:pPr>
        <w:jc w:val="lowKashida"/>
        <w:rPr>
          <w:lang w:eastAsia="ar-SA"/>
        </w:rPr>
      </w:pPr>
      <w:r w:rsidRPr="000317C3">
        <w:rPr>
          <w:lang w:eastAsia="ar-SA"/>
        </w:rPr>
        <w:t>The sanitation indicator in the West Bank and Gaza Strip is highly appropriate</w:t>
      </w:r>
      <w:r w:rsidR="00EA2585">
        <w:rPr>
          <w:lang w:val="en-US" w:eastAsia="ar-SA"/>
        </w:rPr>
        <w:t>,</w:t>
      </w:r>
      <w:r w:rsidRPr="000317C3">
        <w:rPr>
          <w:lang w:eastAsia="ar-SA"/>
        </w:rPr>
        <w:t xml:space="preserve"> where municipalities and UNRWA Agency play a good role in this field.</w:t>
      </w:r>
    </w:p>
    <w:p w:rsidR="00545FA6" w:rsidRDefault="00545FA6" w:rsidP="0047146B">
      <w:pPr>
        <w:jc w:val="both"/>
        <w:rPr>
          <w:lang w:val="en-US"/>
        </w:rPr>
      </w:pPr>
    </w:p>
    <w:p w:rsidR="00064487" w:rsidRDefault="00064487" w:rsidP="0047146B">
      <w:pPr>
        <w:jc w:val="both"/>
        <w:rPr>
          <w:b/>
          <w:bCs/>
        </w:rPr>
      </w:pPr>
      <w:r w:rsidRPr="000317C3">
        <w:rPr>
          <w:b/>
          <w:bCs/>
        </w:rPr>
        <w:t>Obstacles and challenges preventing achieving sustainable housing development</w:t>
      </w:r>
    </w:p>
    <w:p w:rsidR="00064487" w:rsidRPr="000317C3" w:rsidRDefault="00064487" w:rsidP="0047146B">
      <w:pPr>
        <w:pStyle w:val="ListParagraph"/>
        <w:numPr>
          <w:ilvl w:val="0"/>
          <w:numId w:val="3"/>
        </w:numPr>
        <w:bidi w:val="0"/>
        <w:ind w:left="284" w:hanging="284"/>
        <w:jc w:val="both"/>
        <w:rPr>
          <w:b/>
          <w:bCs/>
          <w:szCs w:val="24"/>
        </w:rPr>
      </w:pPr>
      <w:r w:rsidRPr="000317C3">
        <w:rPr>
          <w:b/>
          <w:bCs/>
          <w:szCs w:val="24"/>
        </w:rPr>
        <w:t xml:space="preserve">The first factor: </w:t>
      </w:r>
      <w:r w:rsidR="00D86607">
        <w:rPr>
          <w:b/>
          <w:bCs/>
          <w:szCs w:val="24"/>
        </w:rPr>
        <w:t>H</w:t>
      </w:r>
      <w:r w:rsidR="00D86607" w:rsidRPr="000317C3">
        <w:rPr>
          <w:b/>
          <w:bCs/>
          <w:szCs w:val="24"/>
        </w:rPr>
        <w:t xml:space="preserve">ousing </w:t>
      </w:r>
      <w:r w:rsidRPr="000317C3">
        <w:rPr>
          <w:b/>
          <w:bCs/>
          <w:szCs w:val="24"/>
        </w:rPr>
        <w:t>characteristics, utilities and services</w:t>
      </w:r>
    </w:p>
    <w:p w:rsidR="00064487" w:rsidRDefault="00064487" w:rsidP="0047146B">
      <w:pPr>
        <w:jc w:val="lowKashida"/>
        <w:rPr>
          <w:lang w:val="en-US" w:eastAsia="ar-SA"/>
        </w:rPr>
      </w:pPr>
      <w:r w:rsidRPr="000317C3">
        <w:rPr>
          <w:lang w:eastAsia="ar-SA"/>
        </w:rPr>
        <w:t>This factor explained 59.671% of the total variance in the matrix of variables</w:t>
      </w:r>
      <w:r w:rsidR="00D928AC">
        <w:rPr>
          <w:lang w:val="en-US" w:eastAsia="ar-SA"/>
        </w:rPr>
        <w:t>; meaning</w:t>
      </w:r>
      <w:r w:rsidR="00674B9F" w:rsidRPr="000317C3">
        <w:rPr>
          <w:lang w:eastAsia="ar-SA"/>
        </w:rPr>
        <w:t xml:space="preserve"> </w:t>
      </w:r>
      <w:r w:rsidRPr="000317C3">
        <w:rPr>
          <w:lang w:eastAsia="ar-SA"/>
        </w:rPr>
        <w:t>the strong impact of the characteristics of this factor, and its direct impact on the residential environment and its development. There is no doubt that the characteristics of housing, utilities and services have a clear impact on housing development.</w:t>
      </w:r>
    </w:p>
    <w:p w:rsidR="0047146B" w:rsidRDefault="0047146B" w:rsidP="0047146B">
      <w:pPr>
        <w:jc w:val="lowKashida"/>
        <w:rPr>
          <w:lang w:val="en-US" w:eastAsia="ar-SA"/>
        </w:rPr>
      </w:pPr>
    </w:p>
    <w:p w:rsidR="00064487" w:rsidRPr="000317C3" w:rsidRDefault="00064487" w:rsidP="0047146B">
      <w:pPr>
        <w:pStyle w:val="ListParagraph"/>
        <w:numPr>
          <w:ilvl w:val="0"/>
          <w:numId w:val="3"/>
        </w:numPr>
        <w:bidi w:val="0"/>
        <w:ind w:left="284" w:hanging="284"/>
        <w:jc w:val="both"/>
        <w:rPr>
          <w:b/>
          <w:bCs/>
          <w:szCs w:val="24"/>
        </w:rPr>
      </w:pPr>
      <w:r w:rsidRPr="000317C3">
        <w:rPr>
          <w:b/>
          <w:bCs/>
          <w:szCs w:val="24"/>
        </w:rPr>
        <w:t xml:space="preserve">The second factor: </w:t>
      </w:r>
      <w:r w:rsidR="00D86607">
        <w:rPr>
          <w:b/>
          <w:bCs/>
          <w:szCs w:val="24"/>
        </w:rPr>
        <w:t>T</w:t>
      </w:r>
      <w:r w:rsidR="00D86607" w:rsidRPr="000317C3">
        <w:rPr>
          <w:b/>
          <w:bCs/>
          <w:szCs w:val="24"/>
        </w:rPr>
        <w:t xml:space="preserve">he </w:t>
      </w:r>
      <w:r w:rsidRPr="000317C3">
        <w:rPr>
          <w:b/>
          <w:bCs/>
          <w:szCs w:val="24"/>
        </w:rPr>
        <w:t xml:space="preserve">demographic factor </w:t>
      </w:r>
    </w:p>
    <w:p w:rsidR="00064487" w:rsidRPr="000317C3" w:rsidRDefault="00064487" w:rsidP="00FC7147">
      <w:pPr>
        <w:jc w:val="lowKashida"/>
        <w:rPr>
          <w:lang w:eastAsia="ar-SA"/>
        </w:rPr>
      </w:pPr>
      <w:r w:rsidRPr="000317C3">
        <w:rPr>
          <w:lang w:eastAsia="ar-SA"/>
        </w:rPr>
        <w:t>The second factor explained 16.264% of the total variance in the matrix of variables. The Palestinian society is a young society, which foretells an increase in the future population, which may affect the social and economic standard, against the scarcity of capabilities and resources. It is natural that the youth group that constitutes a large proportion of the Palestinian society needs an adequate number of housing units for young couples, in addition to other groups in society. Sustainable housing development has become an urgent necessity that requires concerted efforts so that the problem does not get worse</w:t>
      </w:r>
      <w:r w:rsidR="00A93E80">
        <w:rPr>
          <w:lang w:val="en-US" w:eastAsia="ar-SA"/>
        </w:rPr>
        <w:t>,</w:t>
      </w:r>
      <w:r w:rsidRPr="000317C3">
        <w:rPr>
          <w:lang w:eastAsia="ar-SA"/>
        </w:rPr>
        <w:t xml:space="preserve"> in light of the increasing population, high unemployment and poverty </w:t>
      </w:r>
      <w:r w:rsidR="00FC7147">
        <w:rPr>
          <w:lang w:val="en-US" w:eastAsia="ar-SA"/>
        </w:rPr>
        <w:t>rate</w:t>
      </w:r>
      <w:r w:rsidRPr="000317C3">
        <w:rPr>
          <w:lang w:eastAsia="ar-SA"/>
        </w:rPr>
        <w:t>.</w:t>
      </w:r>
    </w:p>
    <w:p w:rsidR="00064487" w:rsidRPr="000317C3" w:rsidRDefault="00064487" w:rsidP="0047146B">
      <w:pPr>
        <w:jc w:val="both"/>
      </w:pPr>
    </w:p>
    <w:p w:rsidR="00064487" w:rsidRPr="000317C3" w:rsidRDefault="00064487" w:rsidP="0047146B">
      <w:pPr>
        <w:pStyle w:val="ListParagraph"/>
        <w:numPr>
          <w:ilvl w:val="0"/>
          <w:numId w:val="3"/>
        </w:numPr>
        <w:bidi w:val="0"/>
        <w:ind w:left="284" w:hanging="284"/>
        <w:jc w:val="both"/>
        <w:rPr>
          <w:b/>
          <w:bCs/>
          <w:szCs w:val="24"/>
        </w:rPr>
      </w:pPr>
      <w:r w:rsidRPr="000317C3">
        <w:rPr>
          <w:b/>
          <w:bCs/>
          <w:szCs w:val="24"/>
        </w:rPr>
        <w:t>The third factor: Housing ownership and tenure</w:t>
      </w:r>
    </w:p>
    <w:p w:rsidR="00064487" w:rsidRPr="000317C3" w:rsidRDefault="00064487" w:rsidP="0047146B">
      <w:pPr>
        <w:jc w:val="lowKashida"/>
        <w:rPr>
          <w:lang w:eastAsia="ar-SA"/>
        </w:rPr>
      </w:pPr>
      <w:r w:rsidRPr="000317C3">
        <w:rPr>
          <w:lang w:eastAsia="ar-SA"/>
        </w:rPr>
        <w:t>This factor explained 7.308% of the total variance in the matrix of variables, and was distinguished by moderate degrees of saturation of factors</w:t>
      </w:r>
      <w:r w:rsidR="007D1D5C">
        <w:rPr>
          <w:lang w:val="en-US" w:eastAsia="ar-SA"/>
        </w:rPr>
        <w:t>.</w:t>
      </w:r>
      <w:r w:rsidR="007D1D5C" w:rsidRPr="000317C3">
        <w:rPr>
          <w:lang w:eastAsia="ar-SA"/>
        </w:rPr>
        <w:t xml:space="preserve"> </w:t>
      </w:r>
      <w:r w:rsidR="007D1D5C">
        <w:rPr>
          <w:lang w:val="en-US" w:eastAsia="ar-SA"/>
        </w:rPr>
        <w:t>A</w:t>
      </w:r>
      <w:r w:rsidR="007D1D5C" w:rsidRPr="000317C3">
        <w:rPr>
          <w:lang w:eastAsia="ar-SA"/>
        </w:rPr>
        <w:t xml:space="preserve">s </w:t>
      </w:r>
      <w:r w:rsidRPr="000317C3">
        <w:rPr>
          <w:lang w:eastAsia="ar-SA"/>
        </w:rPr>
        <w:t xml:space="preserve">the saturation of factors ranged from 0.6 to less than 0.9, for nineteen variables, while the variables that were saturated by less than 0.6 reached seventeen variables. All variables were positive, </w:t>
      </w:r>
      <w:r w:rsidR="007D1D5C" w:rsidRPr="000317C3">
        <w:rPr>
          <w:lang w:eastAsia="ar-SA"/>
        </w:rPr>
        <w:t>mean</w:t>
      </w:r>
      <w:r w:rsidR="007D1D5C">
        <w:rPr>
          <w:lang w:val="en-US" w:eastAsia="ar-SA"/>
        </w:rPr>
        <w:t>ing</w:t>
      </w:r>
      <w:r w:rsidR="007D1D5C" w:rsidRPr="000317C3">
        <w:rPr>
          <w:lang w:eastAsia="ar-SA"/>
        </w:rPr>
        <w:t xml:space="preserve"> </w:t>
      </w:r>
      <w:r w:rsidR="007D1D5C">
        <w:rPr>
          <w:lang w:val="en-US" w:eastAsia="ar-SA"/>
        </w:rPr>
        <w:t xml:space="preserve">that </w:t>
      </w:r>
      <w:r w:rsidRPr="000317C3">
        <w:rPr>
          <w:lang w:eastAsia="ar-SA"/>
        </w:rPr>
        <w:t>the strong influence of the characteristics of this factor and its direct impact on the residential environment.</w:t>
      </w:r>
    </w:p>
    <w:p w:rsidR="00064487" w:rsidRPr="000317C3" w:rsidRDefault="00064487" w:rsidP="0047146B">
      <w:pPr>
        <w:jc w:val="lowKashida"/>
        <w:rPr>
          <w:lang w:eastAsia="ar-SA"/>
        </w:rPr>
      </w:pPr>
    </w:p>
    <w:p w:rsidR="00064487" w:rsidRPr="000317C3" w:rsidRDefault="00064487" w:rsidP="0047146B">
      <w:pPr>
        <w:pStyle w:val="ListParagraph"/>
        <w:numPr>
          <w:ilvl w:val="0"/>
          <w:numId w:val="3"/>
        </w:numPr>
        <w:bidi w:val="0"/>
        <w:ind w:left="284" w:hanging="284"/>
        <w:jc w:val="both"/>
        <w:rPr>
          <w:b/>
          <w:bCs/>
          <w:szCs w:val="24"/>
        </w:rPr>
      </w:pPr>
      <w:r w:rsidRPr="000317C3">
        <w:rPr>
          <w:b/>
          <w:bCs/>
          <w:szCs w:val="24"/>
        </w:rPr>
        <w:t>Fourth Factor: Displacement (Refugees), Internal migration and High Urbanization:</w:t>
      </w:r>
    </w:p>
    <w:p w:rsidR="00064487" w:rsidRDefault="00064487" w:rsidP="0047146B">
      <w:pPr>
        <w:jc w:val="lowKashida"/>
        <w:rPr>
          <w:lang w:val="en-US" w:eastAsia="ar-SA"/>
        </w:rPr>
      </w:pPr>
      <w:r w:rsidRPr="000317C3">
        <w:rPr>
          <w:lang w:eastAsia="ar-SA"/>
        </w:rPr>
        <w:t>The factor of the displacement and internal migration explained 5.817% of the total variance in the matrix of variables. It seems clear that displacement and migration factor is a major element in changing the size of the population alongside the natural increase of population. It affects their demographic and economic characteristics, and perhaps the most prominent demographic changes that occurred in Palestine are those changes related to displacement and migration. This has caused a clear imbalance in the demographic structure of the population of Palestine</w:t>
      </w:r>
      <w:r w:rsidR="000E2561">
        <w:rPr>
          <w:lang w:val="en-US" w:eastAsia="ar-SA"/>
        </w:rPr>
        <w:t>.</w:t>
      </w:r>
      <w:r w:rsidRPr="000317C3">
        <w:rPr>
          <w:lang w:eastAsia="ar-SA"/>
        </w:rPr>
        <w:t xml:space="preserve"> </w:t>
      </w:r>
      <w:r w:rsidR="000E2561">
        <w:rPr>
          <w:lang w:val="en-US" w:eastAsia="ar-SA"/>
        </w:rPr>
        <w:t>I</w:t>
      </w:r>
      <w:r w:rsidR="000E2561" w:rsidRPr="000317C3">
        <w:rPr>
          <w:lang w:eastAsia="ar-SA"/>
        </w:rPr>
        <w:t xml:space="preserve">t </w:t>
      </w:r>
      <w:r w:rsidRPr="000317C3">
        <w:rPr>
          <w:lang w:eastAsia="ar-SA"/>
        </w:rPr>
        <w:t>is</w:t>
      </w:r>
      <w:r w:rsidR="000E2561">
        <w:rPr>
          <w:lang w:val="en-US" w:eastAsia="ar-SA"/>
        </w:rPr>
        <w:t xml:space="preserve"> also</w:t>
      </w:r>
      <w:r w:rsidRPr="000317C3">
        <w:rPr>
          <w:lang w:eastAsia="ar-SA"/>
        </w:rPr>
        <w:t xml:space="preserve"> evident that the process of displacement</w:t>
      </w:r>
      <w:r w:rsidR="000E2561">
        <w:rPr>
          <w:lang w:val="en-US" w:eastAsia="ar-SA"/>
        </w:rPr>
        <w:t>,</w:t>
      </w:r>
      <w:r w:rsidRPr="000317C3">
        <w:rPr>
          <w:lang w:eastAsia="ar-SA"/>
        </w:rPr>
        <w:t xml:space="preserve"> to which Palestine was subjected</w:t>
      </w:r>
      <w:r w:rsidR="000E2561">
        <w:rPr>
          <w:lang w:val="en-US" w:eastAsia="ar-SA"/>
        </w:rPr>
        <w:t>,</w:t>
      </w:r>
      <w:r w:rsidRPr="000317C3">
        <w:rPr>
          <w:lang w:eastAsia="ar-SA"/>
        </w:rPr>
        <w:t xml:space="preserve"> has had dangerous dimensions in various fields; (</w:t>
      </w:r>
      <w:r w:rsidR="003A5174">
        <w:rPr>
          <w:lang w:val="en-US" w:eastAsia="ar-SA"/>
        </w:rPr>
        <w:t>30</w:t>
      </w:r>
      <w:r w:rsidRPr="000317C3">
        <w:rPr>
          <w:lang w:eastAsia="ar-SA"/>
        </w:rPr>
        <w:t>) refugees’ camps were built to accommodate displaced refugees in the West Bank and Gaza Strip, which have become, since decades ago, inadequate for the housing increase because of the limited area of ​​these camps.</w:t>
      </w:r>
    </w:p>
    <w:p w:rsidR="00D61B26" w:rsidRPr="00D61B26" w:rsidRDefault="00D61B26" w:rsidP="0047146B">
      <w:pPr>
        <w:pStyle w:val="ListParagraph"/>
        <w:numPr>
          <w:ilvl w:val="0"/>
          <w:numId w:val="3"/>
        </w:numPr>
        <w:bidi w:val="0"/>
        <w:ind w:left="284" w:hanging="284"/>
        <w:jc w:val="both"/>
        <w:rPr>
          <w:b/>
          <w:bCs/>
          <w:szCs w:val="24"/>
        </w:rPr>
      </w:pPr>
      <w:r w:rsidRPr="00D61B26">
        <w:rPr>
          <w:b/>
          <w:bCs/>
          <w:szCs w:val="24"/>
        </w:rPr>
        <w:lastRenderedPageBreak/>
        <w:t>Other factors</w:t>
      </w:r>
    </w:p>
    <w:p w:rsidR="00D61B26" w:rsidRDefault="00D61B26" w:rsidP="0047146B">
      <w:pPr>
        <w:jc w:val="lowKashida"/>
        <w:rPr>
          <w:lang w:val="en-US" w:eastAsia="ar-SA"/>
        </w:rPr>
      </w:pPr>
    </w:p>
    <w:p w:rsidR="00064487" w:rsidRPr="000317C3" w:rsidRDefault="00064487" w:rsidP="0047146B">
      <w:pPr>
        <w:pStyle w:val="ListParagraph"/>
        <w:numPr>
          <w:ilvl w:val="0"/>
          <w:numId w:val="4"/>
        </w:numPr>
        <w:bidi w:val="0"/>
        <w:ind w:left="426" w:hanging="426"/>
        <w:jc w:val="both"/>
        <w:rPr>
          <w:b/>
          <w:bCs/>
          <w:szCs w:val="24"/>
        </w:rPr>
      </w:pPr>
      <w:r w:rsidRPr="000317C3">
        <w:rPr>
          <w:b/>
          <w:bCs/>
          <w:szCs w:val="24"/>
        </w:rPr>
        <w:t>The economic factor</w:t>
      </w:r>
    </w:p>
    <w:p w:rsidR="00064487" w:rsidRPr="007A77DF" w:rsidRDefault="00064487" w:rsidP="003931A4">
      <w:pPr>
        <w:jc w:val="lowKashida"/>
        <w:rPr>
          <w:lang w:eastAsia="ar-SA"/>
        </w:rPr>
      </w:pPr>
      <w:r w:rsidRPr="000317C3">
        <w:rPr>
          <w:lang w:eastAsia="ar-SA"/>
        </w:rPr>
        <w:t xml:space="preserve">There is no doubt that the economic conditions in the West Bank and Gaza Strip have an impact on various economic sectors, especially the housing sector, which depends primarily on savings and stability. Perhaps one of the most important economic facts of the population that have an impact on housing development is that the number of unemployed persons in 2017, for the age group from 15 years and over, amounted to 328,909 persons, constituting 27.2% of the total Palestinian population </w:t>
      </w:r>
      <w:r w:rsidR="003931A4">
        <w:rPr>
          <w:lang w:val="en-US" w:eastAsia="ar-SA"/>
        </w:rPr>
        <w:t>participated to labor force</w:t>
      </w:r>
      <w:r w:rsidR="003931A4" w:rsidRPr="000317C3">
        <w:rPr>
          <w:lang w:eastAsia="ar-SA"/>
        </w:rPr>
        <w:t xml:space="preserve"> </w:t>
      </w:r>
      <w:r w:rsidRPr="000317C3">
        <w:rPr>
          <w:lang w:eastAsia="ar-SA"/>
        </w:rPr>
        <w:t xml:space="preserve">of the same age group. The results also indicated that the highest unemployment </w:t>
      </w:r>
      <w:r w:rsidR="00FC7147">
        <w:rPr>
          <w:lang w:val="en-US" w:eastAsia="ar-SA"/>
        </w:rPr>
        <w:t xml:space="preserve">rate </w:t>
      </w:r>
      <w:r w:rsidRPr="000317C3">
        <w:rPr>
          <w:lang w:eastAsia="ar-SA"/>
        </w:rPr>
        <w:t>was in Gaza Strip, as a result of the blockade impos</w:t>
      </w:r>
      <w:r w:rsidR="001E204C">
        <w:rPr>
          <w:lang w:eastAsia="ar-SA"/>
        </w:rPr>
        <w:t xml:space="preserve">ed on the </w:t>
      </w:r>
      <w:r w:rsidR="003931A4" w:rsidRPr="000317C3">
        <w:rPr>
          <w:lang w:eastAsia="ar-SA"/>
        </w:rPr>
        <w:t>Gaza</w:t>
      </w:r>
      <w:r w:rsidR="003931A4">
        <w:rPr>
          <w:lang w:eastAsia="ar-SA"/>
        </w:rPr>
        <w:t xml:space="preserve"> </w:t>
      </w:r>
      <w:r w:rsidR="001E204C">
        <w:rPr>
          <w:lang w:eastAsia="ar-SA"/>
        </w:rPr>
        <w:t>Strip since 2007. The</w:t>
      </w:r>
      <w:r w:rsidR="001E204C">
        <w:rPr>
          <w:lang w:val="en-US" w:eastAsia="ar-SA"/>
        </w:rPr>
        <w:t xml:space="preserve"> </w:t>
      </w:r>
      <w:r w:rsidRPr="000317C3">
        <w:rPr>
          <w:lang w:eastAsia="ar-SA"/>
        </w:rPr>
        <w:t xml:space="preserve">poverty </w:t>
      </w:r>
      <w:r w:rsidR="00FC7147">
        <w:rPr>
          <w:lang w:val="en-US" w:eastAsia="ar-SA"/>
        </w:rPr>
        <w:t>rate</w:t>
      </w:r>
      <w:r w:rsidR="00FC7147" w:rsidRPr="000317C3">
        <w:rPr>
          <w:lang w:eastAsia="ar-SA"/>
        </w:rPr>
        <w:t xml:space="preserve"> </w:t>
      </w:r>
      <w:r w:rsidRPr="000317C3">
        <w:rPr>
          <w:lang w:eastAsia="ar-SA"/>
        </w:rPr>
        <w:t>among individuals during 2017, according to the patterns of monthly consumption, reached 29.2% in Palestine; 13.9% in the West Bank and 53.0 % in Gaza Strip. At the same time</w:t>
      </w:r>
      <w:r w:rsidR="00E8404F">
        <w:rPr>
          <w:lang w:val="en-US" w:eastAsia="ar-SA"/>
        </w:rPr>
        <w:t>,</w:t>
      </w:r>
      <w:r w:rsidRPr="000317C3">
        <w:rPr>
          <w:lang w:eastAsia="ar-SA"/>
        </w:rPr>
        <w:t xml:space="preserve"> 41.1% of </w:t>
      </w:r>
      <w:r w:rsidR="00E8404F">
        <w:rPr>
          <w:lang w:val="en-US" w:eastAsia="ar-SA"/>
        </w:rPr>
        <w:t xml:space="preserve">the </w:t>
      </w:r>
      <w:r w:rsidRPr="000317C3">
        <w:rPr>
          <w:lang w:eastAsia="ar-SA"/>
        </w:rPr>
        <w:t xml:space="preserve">Palestinian individuals have a monthly income below the national poverty line; 24.0% in the West Bank and 67.6% in Gaza Strip. It was also found that 16.8% of the Palestinian individuals suffer from </w:t>
      </w:r>
      <w:r w:rsidR="007A77DF" w:rsidRPr="007A77DF">
        <w:rPr>
          <w:lang w:eastAsia="ar-SA"/>
        </w:rPr>
        <w:t>deep poverty.</w:t>
      </w:r>
    </w:p>
    <w:p w:rsidR="00064487" w:rsidRPr="00064487" w:rsidRDefault="00064487" w:rsidP="0047146B">
      <w:pPr>
        <w:jc w:val="lowKashida"/>
        <w:rPr>
          <w:lang w:val="en-US" w:eastAsia="ar-SA"/>
        </w:rPr>
      </w:pPr>
    </w:p>
    <w:p w:rsidR="00064487" w:rsidRPr="000317C3" w:rsidRDefault="00E8404F" w:rsidP="0047146B">
      <w:pPr>
        <w:pStyle w:val="ListParagraph"/>
        <w:numPr>
          <w:ilvl w:val="0"/>
          <w:numId w:val="4"/>
        </w:numPr>
        <w:bidi w:val="0"/>
        <w:ind w:left="426" w:hanging="426"/>
        <w:jc w:val="both"/>
        <w:rPr>
          <w:b/>
          <w:bCs/>
          <w:szCs w:val="24"/>
        </w:rPr>
      </w:pPr>
      <w:r>
        <w:rPr>
          <w:b/>
          <w:bCs/>
          <w:szCs w:val="24"/>
        </w:rPr>
        <w:t>S</w:t>
      </w:r>
      <w:r w:rsidRPr="000317C3">
        <w:rPr>
          <w:b/>
          <w:bCs/>
          <w:szCs w:val="24"/>
        </w:rPr>
        <w:t xml:space="preserve">tructural </w:t>
      </w:r>
      <w:r w:rsidR="00064487" w:rsidRPr="000317C3">
        <w:rPr>
          <w:b/>
          <w:bCs/>
          <w:szCs w:val="24"/>
        </w:rPr>
        <w:t>plans, failure of the administrative entities, and occupation restrictions</w:t>
      </w:r>
    </w:p>
    <w:p w:rsidR="00064487" w:rsidRPr="000317C3" w:rsidRDefault="00064487" w:rsidP="0047146B">
      <w:pPr>
        <w:jc w:val="lowKashida"/>
        <w:rPr>
          <w:lang w:eastAsia="ar-SA"/>
        </w:rPr>
      </w:pPr>
      <w:r w:rsidRPr="000317C3">
        <w:rPr>
          <w:lang w:eastAsia="ar-SA"/>
        </w:rPr>
        <w:t>Regional and structural plans have an important role in guiding the spatial expansion of urbanization and residential development, as well as in organizing the map of land uses. Perhaps these plans need administrative operations with a high degree of efficiency and effectiveness so that they can meet the urgent problems</w:t>
      </w:r>
      <w:r w:rsidR="00403119">
        <w:rPr>
          <w:lang w:val="en-US" w:eastAsia="ar-SA"/>
        </w:rPr>
        <w:t xml:space="preserve"> and needs</w:t>
      </w:r>
      <w:r w:rsidRPr="000317C3">
        <w:rPr>
          <w:lang w:eastAsia="ar-SA"/>
        </w:rPr>
        <w:t xml:space="preserve"> of population and economic and urban growth. The absence of planning for a long period due to the Israeli occupation is largely reflected on residential patterns, and has created many problems that are difficult to solve.</w:t>
      </w:r>
    </w:p>
    <w:p w:rsidR="00064487" w:rsidRPr="000317C3" w:rsidRDefault="00064487" w:rsidP="0047146B">
      <w:pPr>
        <w:jc w:val="both"/>
      </w:pPr>
    </w:p>
    <w:p w:rsidR="00064487" w:rsidRPr="000317C3" w:rsidRDefault="00064487" w:rsidP="0047146B">
      <w:pPr>
        <w:pStyle w:val="ListParagraph"/>
        <w:numPr>
          <w:ilvl w:val="0"/>
          <w:numId w:val="4"/>
        </w:numPr>
        <w:bidi w:val="0"/>
        <w:ind w:left="426" w:hanging="426"/>
        <w:jc w:val="both"/>
        <w:rPr>
          <w:b/>
          <w:bCs/>
          <w:szCs w:val="24"/>
        </w:rPr>
      </w:pPr>
      <w:r w:rsidRPr="000317C3">
        <w:rPr>
          <w:b/>
          <w:bCs/>
          <w:szCs w:val="24"/>
        </w:rPr>
        <w:t>Settlement</w:t>
      </w:r>
      <w:r w:rsidR="00403119">
        <w:rPr>
          <w:b/>
          <w:bCs/>
          <w:szCs w:val="24"/>
        </w:rPr>
        <w:t>s</w:t>
      </w:r>
      <w:r w:rsidRPr="000317C3">
        <w:rPr>
          <w:b/>
          <w:bCs/>
          <w:szCs w:val="24"/>
        </w:rPr>
        <w:t xml:space="preserve"> and </w:t>
      </w:r>
      <w:r w:rsidR="00403119" w:rsidRPr="000317C3">
        <w:rPr>
          <w:b/>
          <w:bCs/>
          <w:szCs w:val="24"/>
        </w:rPr>
        <w:t>divi</w:t>
      </w:r>
      <w:r w:rsidR="00403119">
        <w:rPr>
          <w:b/>
          <w:bCs/>
          <w:szCs w:val="24"/>
        </w:rPr>
        <w:t>sion of</w:t>
      </w:r>
      <w:r w:rsidR="00403119" w:rsidRPr="000317C3">
        <w:rPr>
          <w:b/>
          <w:bCs/>
          <w:szCs w:val="24"/>
        </w:rPr>
        <w:t xml:space="preserve"> </w:t>
      </w:r>
      <w:r w:rsidRPr="000317C3">
        <w:rPr>
          <w:b/>
          <w:bCs/>
          <w:szCs w:val="24"/>
        </w:rPr>
        <w:t>the West Bank into three areas, namely (A), (B) and (C).</w:t>
      </w:r>
    </w:p>
    <w:p w:rsidR="00064487" w:rsidRPr="000317C3" w:rsidRDefault="00064487" w:rsidP="008B7D46">
      <w:pPr>
        <w:jc w:val="lowKashida"/>
        <w:rPr>
          <w:lang w:eastAsia="ar-SA"/>
        </w:rPr>
      </w:pPr>
      <w:r w:rsidRPr="000317C3">
        <w:rPr>
          <w:lang w:eastAsia="ar-SA"/>
        </w:rPr>
        <w:t xml:space="preserve">Among the most important problems facing housing development in Palestine are the confiscation of Palestinian lands, preventing the Palestinians from building on them, and allocating them for the purposes of </w:t>
      </w:r>
      <w:r w:rsidR="008B7D46">
        <w:rPr>
          <w:lang w:val="en-US" w:eastAsia="ar-SA"/>
        </w:rPr>
        <w:t>Israeli</w:t>
      </w:r>
      <w:r w:rsidRPr="000317C3">
        <w:rPr>
          <w:lang w:eastAsia="ar-SA"/>
        </w:rPr>
        <w:t xml:space="preserve"> settlement. This is in addition to the </w:t>
      </w:r>
      <w:r w:rsidR="0053356A">
        <w:rPr>
          <w:lang w:val="en-US" w:eastAsia="ar-SA"/>
        </w:rPr>
        <w:t>expansion</w:t>
      </w:r>
      <w:r w:rsidR="0053356A" w:rsidRPr="000317C3">
        <w:rPr>
          <w:lang w:eastAsia="ar-SA"/>
        </w:rPr>
        <w:t xml:space="preserve"> </w:t>
      </w:r>
      <w:r w:rsidR="0053356A">
        <w:rPr>
          <w:lang w:val="en-US" w:eastAsia="ar-SA"/>
        </w:rPr>
        <w:t>and</w:t>
      </w:r>
      <w:r w:rsidR="0053356A" w:rsidRPr="000317C3">
        <w:rPr>
          <w:lang w:eastAsia="ar-SA"/>
        </w:rPr>
        <w:t xml:space="preserve"> </w:t>
      </w:r>
      <w:r w:rsidR="005A7862">
        <w:rPr>
          <w:lang w:val="en-US" w:eastAsia="ar-SA"/>
        </w:rPr>
        <w:t xml:space="preserve">annexation </w:t>
      </w:r>
      <w:r w:rsidRPr="000317C3">
        <w:rPr>
          <w:lang w:eastAsia="ar-SA"/>
        </w:rPr>
        <w:t>wall, expansion of settlements, and detour roads which have resulted in the forced reduction of Palestinian urban expansion</w:t>
      </w:r>
      <w:r w:rsidR="005A7862">
        <w:rPr>
          <w:lang w:val="en-US" w:eastAsia="ar-SA"/>
        </w:rPr>
        <w:t>, as well as</w:t>
      </w:r>
      <w:r w:rsidRPr="000317C3">
        <w:rPr>
          <w:lang w:eastAsia="ar-SA"/>
        </w:rPr>
        <w:t xml:space="preserve"> giving the opportunity to Israeli settlements to expand. The Israeli occupation confiscated the lands and controlled it by military orders. It is remarkable that the Israeli occupation puts all obstacles to tighten the siege and restrict the urban expansion of the Palestinians, especially in Jerusalem and areas classified as (C) in the West Bank, which are still under the full control of the Israeli occupation, in addition to the expansion and annexation wall, which isolated more than 12% of the West Bank area.</w:t>
      </w:r>
    </w:p>
    <w:p w:rsidR="00064487" w:rsidRPr="000317C3" w:rsidRDefault="00064487" w:rsidP="0047146B">
      <w:pPr>
        <w:jc w:val="both"/>
      </w:pPr>
    </w:p>
    <w:p w:rsidR="00064487" w:rsidRPr="000317C3" w:rsidRDefault="0053356A" w:rsidP="0047146B">
      <w:pPr>
        <w:pStyle w:val="ListParagraph"/>
        <w:numPr>
          <w:ilvl w:val="0"/>
          <w:numId w:val="4"/>
        </w:numPr>
        <w:bidi w:val="0"/>
        <w:ind w:left="426" w:hanging="426"/>
        <w:jc w:val="both"/>
        <w:rPr>
          <w:b/>
          <w:bCs/>
          <w:szCs w:val="24"/>
        </w:rPr>
      </w:pPr>
      <w:r>
        <w:rPr>
          <w:b/>
          <w:bCs/>
          <w:szCs w:val="24"/>
        </w:rPr>
        <w:t>T</w:t>
      </w:r>
      <w:r w:rsidRPr="000317C3">
        <w:rPr>
          <w:b/>
          <w:bCs/>
          <w:szCs w:val="24"/>
        </w:rPr>
        <w:t xml:space="preserve">he </w:t>
      </w:r>
      <w:r w:rsidR="00064487" w:rsidRPr="000317C3">
        <w:rPr>
          <w:b/>
          <w:bCs/>
          <w:szCs w:val="24"/>
        </w:rPr>
        <w:t xml:space="preserve">Israeli Occupation policy of demolishing residential housing units </w:t>
      </w:r>
    </w:p>
    <w:p w:rsidR="00064487" w:rsidRDefault="00064487" w:rsidP="0047146B">
      <w:pPr>
        <w:jc w:val="lowKashida"/>
        <w:rPr>
          <w:lang w:eastAsia="ar-SA"/>
        </w:rPr>
      </w:pPr>
      <w:r w:rsidRPr="000317C3">
        <w:rPr>
          <w:lang w:eastAsia="ar-SA"/>
        </w:rPr>
        <w:t xml:space="preserve">The policy of housing units demolition practiced by the Israeli occupation authorities has a direct and dangerous impact on the reality of housing construction in Palestine. The roots of this policy go back to the year 1948, i.e., since the occupation of Palestine, where the occupation forces destroyed hundreds of thousands of Palestinian homes </w:t>
      </w:r>
      <w:r w:rsidR="00AE6DE8">
        <w:rPr>
          <w:lang w:val="en-US" w:eastAsia="ar-SA"/>
        </w:rPr>
        <w:t>due to di</w:t>
      </w:r>
      <w:r w:rsidR="00F51D64">
        <w:rPr>
          <w:lang w:val="en-US" w:eastAsia="ar-SA"/>
        </w:rPr>
        <w:t>f</w:t>
      </w:r>
      <w:r w:rsidR="00AE6DE8">
        <w:rPr>
          <w:lang w:val="en-US" w:eastAsia="ar-SA"/>
        </w:rPr>
        <w:t>ferent</w:t>
      </w:r>
      <w:r w:rsidR="00AE6DE8" w:rsidRPr="000317C3">
        <w:rPr>
          <w:lang w:eastAsia="ar-SA"/>
        </w:rPr>
        <w:t xml:space="preserve"> </w:t>
      </w:r>
      <w:r w:rsidRPr="000317C3">
        <w:rPr>
          <w:lang w:eastAsia="ar-SA"/>
        </w:rPr>
        <w:t>reasons, which led to the displacement of thousands of families.</w:t>
      </w:r>
    </w:p>
    <w:p w:rsidR="0047146B" w:rsidRPr="000317C3" w:rsidRDefault="0047146B" w:rsidP="0047146B">
      <w:pPr>
        <w:jc w:val="lowKashida"/>
        <w:rPr>
          <w:lang w:eastAsia="ar-SA"/>
        </w:rPr>
      </w:pPr>
    </w:p>
    <w:p w:rsidR="00064487" w:rsidRPr="000317C3" w:rsidRDefault="00AE6DE8" w:rsidP="0047146B">
      <w:pPr>
        <w:pStyle w:val="ListParagraph"/>
        <w:numPr>
          <w:ilvl w:val="0"/>
          <w:numId w:val="4"/>
        </w:numPr>
        <w:bidi w:val="0"/>
        <w:ind w:left="426" w:hanging="426"/>
        <w:jc w:val="both"/>
        <w:rPr>
          <w:b/>
          <w:bCs/>
          <w:szCs w:val="24"/>
        </w:rPr>
      </w:pPr>
      <w:r>
        <w:rPr>
          <w:b/>
          <w:bCs/>
          <w:szCs w:val="24"/>
        </w:rPr>
        <w:t>T</w:t>
      </w:r>
      <w:r w:rsidRPr="000317C3">
        <w:rPr>
          <w:b/>
          <w:bCs/>
          <w:szCs w:val="24"/>
        </w:rPr>
        <w:t xml:space="preserve">he </w:t>
      </w:r>
      <w:r w:rsidR="00064487" w:rsidRPr="000317C3">
        <w:rPr>
          <w:b/>
          <w:bCs/>
          <w:szCs w:val="24"/>
        </w:rPr>
        <w:t>high costs of construction, lands, apartments and lease market</w:t>
      </w:r>
    </w:p>
    <w:p w:rsidR="00064487" w:rsidRDefault="00064487" w:rsidP="00FC7147">
      <w:pPr>
        <w:jc w:val="lowKashida"/>
        <w:rPr>
          <w:lang w:eastAsia="ar-SA"/>
        </w:rPr>
      </w:pPr>
      <w:r w:rsidRPr="000317C3">
        <w:rPr>
          <w:lang w:eastAsia="ar-SA"/>
        </w:rPr>
        <w:t xml:space="preserve">It seems that the prices of the lands are linked to the political, economic and security conditions that the region goes through, which in turn, affect supply and demand. The soaring prices of lands and housing units continue to increase till the present time, which is </w:t>
      </w:r>
      <w:r w:rsidRPr="000317C3">
        <w:rPr>
          <w:lang w:eastAsia="ar-SA"/>
        </w:rPr>
        <w:lastRenderedPageBreak/>
        <w:t xml:space="preserve">understandable once we admit the fact </w:t>
      </w:r>
      <w:r w:rsidR="00B944B5">
        <w:rPr>
          <w:lang w:val="en-US" w:eastAsia="ar-SA"/>
        </w:rPr>
        <w:t>that</w:t>
      </w:r>
      <w:r w:rsidR="00B944B5" w:rsidRPr="000317C3">
        <w:rPr>
          <w:lang w:eastAsia="ar-SA"/>
        </w:rPr>
        <w:t xml:space="preserve"> </w:t>
      </w:r>
      <w:r w:rsidRPr="000317C3">
        <w:rPr>
          <w:lang w:eastAsia="ar-SA"/>
        </w:rPr>
        <w:t>the small area of Gaza Strip and the limited land area permitted by the Israeli occupation to</w:t>
      </w:r>
      <w:r w:rsidR="00B944B5">
        <w:rPr>
          <w:lang w:val="en-US" w:eastAsia="ar-SA"/>
        </w:rPr>
        <w:t xml:space="preserve"> be used for</w:t>
      </w:r>
      <w:r w:rsidRPr="000317C3">
        <w:rPr>
          <w:lang w:eastAsia="ar-SA"/>
        </w:rPr>
        <w:t xml:space="preserve"> construct</w:t>
      </w:r>
      <w:r w:rsidR="00B944B5">
        <w:rPr>
          <w:lang w:val="en-US" w:eastAsia="ar-SA"/>
        </w:rPr>
        <w:t>ion</w:t>
      </w:r>
      <w:r w:rsidRPr="000317C3">
        <w:rPr>
          <w:lang w:eastAsia="ar-SA"/>
        </w:rPr>
        <w:t xml:space="preserve"> in the West Bank. This is in addition to the limited supply of building lands and the increased demand for construction lands as a result of the </w:t>
      </w:r>
      <w:r w:rsidR="00B944B5">
        <w:rPr>
          <w:lang w:val="en-US" w:eastAsia="ar-SA"/>
        </w:rPr>
        <w:t>increasing</w:t>
      </w:r>
      <w:r w:rsidR="00B944B5" w:rsidRPr="000317C3">
        <w:rPr>
          <w:lang w:eastAsia="ar-SA"/>
        </w:rPr>
        <w:t xml:space="preserve"> </w:t>
      </w:r>
      <w:r w:rsidR="00FC7147">
        <w:rPr>
          <w:lang w:val="en-US" w:eastAsia="ar-SA"/>
        </w:rPr>
        <w:t>rate</w:t>
      </w:r>
      <w:r w:rsidR="00FC7147" w:rsidRPr="000317C3">
        <w:rPr>
          <w:lang w:eastAsia="ar-SA"/>
        </w:rPr>
        <w:t xml:space="preserve"> </w:t>
      </w:r>
      <w:r w:rsidRPr="000317C3">
        <w:rPr>
          <w:lang w:eastAsia="ar-SA"/>
        </w:rPr>
        <w:t xml:space="preserve">of population. It is evident that the high price of lands will be reflected on the housing in terms of shape, area and expansion. The increase in </w:t>
      </w:r>
      <w:r w:rsidR="006E7AB3">
        <w:rPr>
          <w:lang w:val="en-US" w:eastAsia="ar-SA"/>
        </w:rPr>
        <w:t xml:space="preserve">the </w:t>
      </w:r>
      <w:r w:rsidR="006E7AB3" w:rsidRPr="000317C3">
        <w:rPr>
          <w:lang w:eastAsia="ar-SA"/>
        </w:rPr>
        <w:t>prices</w:t>
      </w:r>
      <w:r w:rsidR="006E7AB3">
        <w:rPr>
          <w:lang w:val="en-US" w:eastAsia="ar-SA"/>
        </w:rPr>
        <w:t xml:space="preserve"> of</w:t>
      </w:r>
      <w:r w:rsidR="006E7AB3" w:rsidRPr="000317C3">
        <w:rPr>
          <w:lang w:eastAsia="ar-SA"/>
        </w:rPr>
        <w:t xml:space="preserve"> </w:t>
      </w:r>
      <w:r w:rsidRPr="000317C3">
        <w:rPr>
          <w:lang w:eastAsia="ar-SA"/>
        </w:rPr>
        <w:t xml:space="preserve">lands has also resulted in an expansion of construction </w:t>
      </w:r>
      <w:r w:rsidR="007356A7">
        <w:rPr>
          <w:lang w:val="en-US" w:eastAsia="ar-SA"/>
        </w:rPr>
        <w:t>in</w:t>
      </w:r>
      <w:r w:rsidR="007356A7" w:rsidRPr="000317C3">
        <w:rPr>
          <w:lang w:eastAsia="ar-SA"/>
        </w:rPr>
        <w:t xml:space="preserve"> </w:t>
      </w:r>
      <w:r w:rsidRPr="000317C3">
        <w:rPr>
          <w:lang w:eastAsia="ar-SA"/>
        </w:rPr>
        <w:t xml:space="preserve">the agricultural land, where many of the agricultural land are located </w:t>
      </w:r>
      <w:r w:rsidR="007356A7">
        <w:rPr>
          <w:lang w:val="en-US" w:eastAsia="ar-SA"/>
        </w:rPr>
        <w:t>i</w:t>
      </w:r>
      <w:r w:rsidR="007356A7" w:rsidRPr="000317C3">
        <w:rPr>
          <w:lang w:eastAsia="ar-SA"/>
        </w:rPr>
        <w:t xml:space="preserve">n </w:t>
      </w:r>
      <w:r w:rsidRPr="000317C3">
        <w:rPr>
          <w:lang w:eastAsia="ar-SA"/>
        </w:rPr>
        <w:t xml:space="preserve">the </w:t>
      </w:r>
      <w:r w:rsidR="007356A7">
        <w:rPr>
          <w:lang w:val="en-US" w:eastAsia="ar-SA"/>
        </w:rPr>
        <w:t>outlying areas</w:t>
      </w:r>
      <w:r w:rsidR="007356A7" w:rsidRPr="000317C3">
        <w:rPr>
          <w:lang w:eastAsia="ar-SA"/>
        </w:rPr>
        <w:t xml:space="preserve"> </w:t>
      </w:r>
      <w:r w:rsidRPr="000317C3">
        <w:rPr>
          <w:lang w:eastAsia="ar-SA"/>
        </w:rPr>
        <w:t>and the middle of residential areas</w:t>
      </w:r>
      <w:r w:rsidR="007356A7">
        <w:rPr>
          <w:lang w:val="en-US" w:eastAsia="ar-SA"/>
        </w:rPr>
        <w:t>, which,</w:t>
      </w:r>
      <w:r w:rsidRPr="000317C3">
        <w:rPr>
          <w:lang w:eastAsia="ar-SA"/>
        </w:rPr>
        <w:t xml:space="preserve"> then</w:t>
      </w:r>
      <w:r w:rsidR="007356A7">
        <w:rPr>
          <w:lang w:val="en-US" w:eastAsia="ar-SA"/>
        </w:rPr>
        <w:t>, were</w:t>
      </w:r>
      <w:r w:rsidRPr="000317C3">
        <w:rPr>
          <w:lang w:eastAsia="ar-SA"/>
        </w:rPr>
        <w:t xml:space="preserve"> turned into residential buildings.</w:t>
      </w:r>
    </w:p>
    <w:p w:rsidR="00FE1865" w:rsidRPr="000317C3" w:rsidRDefault="00FE1865" w:rsidP="0047146B">
      <w:pPr>
        <w:jc w:val="lowKashida"/>
        <w:rPr>
          <w:lang w:eastAsia="ar-SA"/>
        </w:rPr>
      </w:pPr>
    </w:p>
    <w:p w:rsidR="00064487" w:rsidRPr="000317C3" w:rsidRDefault="007356A7" w:rsidP="0047146B">
      <w:pPr>
        <w:pStyle w:val="ListParagraph"/>
        <w:numPr>
          <w:ilvl w:val="0"/>
          <w:numId w:val="4"/>
        </w:numPr>
        <w:bidi w:val="0"/>
        <w:ind w:left="426" w:hanging="426"/>
        <w:jc w:val="both"/>
        <w:rPr>
          <w:b/>
          <w:bCs/>
          <w:szCs w:val="24"/>
        </w:rPr>
      </w:pPr>
      <w:r>
        <w:rPr>
          <w:b/>
          <w:bCs/>
          <w:szCs w:val="24"/>
        </w:rPr>
        <w:t>T</w:t>
      </w:r>
      <w:r w:rsidRPr="000317C3">
        <w:rPr>
          <w:b/>
          <w:bCs/>
          <w:szCs w:val="24"/>
        </w:rPr>
        <w:t xml:space="preserve">he </w:t>
      </w:r>
      <w:r w:rsidR="00064487" w:rsidRPr="000317C3">
        <w:rPr>
          <w:b/>
          <w:bCs/>
          <w:szCs w:val="24"/>
        </w:rPr>
        <w:t>social factor (customs and traditions)</w:t>
      </w:r>
    </w:p>
    <w:p w:rsidR="00064487" w:rsidRPr="000317C3" w:rsidRDefault="00064487" w:rsidP="0047146B">
      <w:pPr>
        <w:jc w:val="lowKashida"/>
        <w:rPr>
          <w:lang w:eastAsia="ar-SA"/>
        </w:rPr>
      </w:pPr>
      <w:r w:rsidRPr="000317C3">
        <w:rPr>
          <w:lang w:eastAsia="ar-SA"/>
        </w:rPr>
        <w:t>The population of Palestine depends mainly on the horizontal expansion, especially in rural localities,</w:t>
      </w:r>
      <w:r w:rsidR="00B374AC">
        <w:rPr>
          <w:lang w:val="en-US" w:eastAsia="ar-SA"/>
        </w:rPr>
        <w:t>. T</w:t>
      </w:r>
      <w:r w:rsidRPr="000317C3">
        <w:rPr>
          <w:lang w:eastAsia="ar-SA"/>
        </w:rPr>
        <w:t>herefore</w:t>
      </w:r>
      <w:r w:rsidR="002C6A5B">
        <w:rPr>
          <w:lang w:val="en-US" w:eastAsia="ar-SA"/>
        </w:rPr>
        <w:t>,</w:t>
      </w:r>
      <w:r w:rsidRPr="000317C3">
        <w:rPr>
          <w:lang w:eastAsia="ar-SA"/>
        </w:rPr>
        <w:t xml:space="preserve"> urbanization is spread over a large area of ​​land because of old customs and traditions that do not allow sharing the housing with other families. As a result of the increasing population and scarcity of land, the increasing prices</w:t>
      </w:r>
      <w:r w:rsidR="00B374AC">
        <w:rPr>
          <w:lang w:val="en-US" w:eastAsia="ar-SA"/>
        </w:rPr>
        <w:t xml:space="preserve"> of</w:t>
      </w:r>
      <w:r w:rsidRPr="000317C3">
        <w:rPr>
          <w:lang w:eastAsia="ar-SA"/>
        </w:rPr>
        <w:t xml:space="preserve"> land and </w:t>
      </w:r>
      <w:r w:rsidR="00B374AC">
        <w:rPr>
          <w:lang w:val="en-US" w:eastAsia="ar-SA"/>
        </w:rPr>
        <w:t xml:space="preserve">the </w:t>
      </w:r>
      <w:r w:rsidRPr="000317C3">
        <w:rPr>
          <w:lang w:eastAsia="ar-SA"/>
        </w:rPr>
        <w:t xml:space="preserve">increasing cost of construction, residents are forced to rely on vertical construction and </w:t>
      </w:r>
      <w:r w:rsidR="003B41B1">
        <w:rPr>
          <w:lang w:val="en-US" w:eastAsia="ar-SA"/>
        </w:rPr>
        <w:t>to live</w:t>
      </w:r>
      <w:r w:rsidR="003B41B1" w:rsidRPr="000317C3">
        <w:rPr>
          <w:lang w:eastAsia="ar-SA"/>
        </w:rPr>
        <w:t xml:space="preserve"> </w:t>
      </w:r>
      <w:r w:rsidRPr="000317C3">
        <w:rPr>
          <w:lang w:eastAsia="ar-SA"/>
        </w:rPr>
        <w:t>in apartments, until this became a familiar matter to the Palestinian population.</w:t>
      </w:r>
    </w:p>
    <w:p w:rsidR="00064487" w:rsidRPr="000317C3" w:rsidRDefault="00064487" w:rsidP="0047146B">
      <w:pPr>
        <w:jc w:val="both"/>
      </w:pPr>
    </w:p>
    <w:p w:rsidR="00064487" w:rsidRPr="000317C3" w:rsidRDefault="003B41B1" w:rsidP="0047146B">
      <w:pPr>
        <w:pStyle w:val="ListParagraph"/>
        <w:numPr>
          <w:ilvl w:val="0"/>
          <w:numId w:val="4"/>
        </w:numPr>
        <w:bidi w:val="0"/>
        <w:ind w:left="426" w:hanging="426"/>
        <w:jc w:val="both"/>
        <w:rPr>
          <w:b/>
          <w:bCs/>
          <w:szCs w:val="24"/>
        </w:rPr>
      </w:pPr>
      <w:r>
        <w:rPr>
          <w:b/>
          <w:bCs/>
          <w:szCs w:val="24"/>
        </w:rPr>
        <w:t>R</w:t>
      </w:r>
      <w:r w:rsidRPr="000317C3">
        <w:rPr>
          <w:b/>
          <w:bCs/>
          <w:szCs w:val="24"/>
        </w:rPr>
        <w:t xml:space="preserve">oads </w:t>
      </w:r>
      <w:r w:rsidR="00064487" w:rsidRPr="000317C3">
        <w:rPr>
          <w:b/>
          <w:bCs/>
          <w:szCs w:val="24"/>
        </w:rPr>
        <w:t>and means of transportation</w:t>
      </w:r>
    </w:p>
    <w:p w:rsidR="00064487" w:rsidRPr="000317C3" w:rsidRDefault="00064487" w:rsidP="0047146B">
      <w:pPr>
        <w:jc w:val="lowKashida"/>
        <w:rPr>
          <w:lang w:eastAsia="ar-SA"/>
        </w:rPr>
      </w:pPr>
      <w:r w:rsidRPr="000317C3">
        <w:rPr>
          <w:lang w:eastAsia="ar-SA"/>
        </w:rPr>
        <w:t>There is a clear correlation between the road map and the urban growth map</w:t>
      </w:r>
      <w:r w:rsidR="003B41B1">
        <w:rPr>
          <w:lang w:val="en-US" w:eastAsia="ar-SA"/>
        </w:rPr>
        <w:t>,</w:t>
      </w:r>
      <w:r w:rsidRPr="000317C3">
        <w:rPr>
          <w:lang w:eastAsia="ar-SA"/>
        </w:rPr>
        <w:t xml:space="preserve"> where urbanization goes with the </w:t>
      </w:r>
      <w:r w:rsidR="003B41B1" w:rsidRPr="000317C3">
        <w:rPr>
          <w:lang w:eastAsia="ar-SA"/>
        </w:rPr>
        <w:t>locations</w:t>
      </w:r>
      <w:r w:rsidR="003B41B1">
        <w:rPr>
          <w:lang w:val="en-US" w:eastAsia="ar-SA"/>
        </w:rPr>
        <w:t xml:space="preserve"> of</w:t>
      </w:r>
      <w:r w:rsidR="003B41B1" w:rsidRPr="000317C3">
        <w:rPr>
          <w:lang w:eastAsia="ar-SA"/>
        </w:rPr>
        <w:t xml:space="preserve"> </w:t>
      </w:r>
      <w:r w:rsidRPr="000317C3">
        <w:rPr>
          <w:lang w:eastAsia="ar-SA"/>
        </w:rPr>
        <w:t xml:space="preserve">roads, or in the areas where roads and means of transportation are available. People move away from the areas where the roads’ network does not exist, despite the fact that these areas are characterized </w:t>
      </w:r>
      <w:r w:rsidR="00FA2FB6">
        <w:rPr>
          <w:lang w:val="en-US" w:eastAsia="ar-SA"/>
        </w:rPr>
        <w:t>to be</w:t>
      </w:r>
      <w:r w:rsidR="00FA2FB6" w:rsidRPr="000317C3">
        <w:rPr>
          <w:lang w:eastAsia="ar-SA"/>
        </w:rPr>
        <w:t xml:space="preserve"> </w:t>
      </w:r>
      <w:r w:rsidRPr="000317C3">
        <w:rPr>
          <w:lang w:eastAsia="ar-SA"/>
        </w:rPr>
        <w:t xml:space="preserve">low </w:t>
      </w:r>
      <w:r w:rsidR="00FA2FB6">
        <w:rPr>
          <w:lang w:val="en-US" w:eastAsia="ar-SA"/>
        </w:rPr>
        <w:t xml:space="preserve">in </w:t>
      </w:r>
      <w:r w:rsidRPr="000317C3">
        <w:rPr>
          <w:lang w:eastAsia="ar-SA"/>
        </w:rPr>
        <w:t>lands’ prices. A group of regions in the West Bank and Gaza Strip suffer from the lack of paved roads, especially in rural areas which leads to overcrowding in the urban areas.</w:t>
      </w:r>
    </w:p>
    <w:p w:rsidR="00064487" w:rsidRPr="00064487" w:rsidRDefault="00064487" w:rsidP="0047146B">
      <w:pPr>
        <w:jc w:val="lowKashida"/>
        <w:rPr>
          <w:rtl/>
          <w:lang w:eastAsia="ar-SA"/>
        </w:rPr>
      </w:pPr>
    </w:p>
    <w:p w:rsidR="00E4430E" w:rsidRPr="000D02BD" w:rsidRDefault="00E4430E" w:rsidP="004B7B37">
      <w:pPr>
        <w:jc w:val="center"/>
        <w:rPr>
          <w:lang w:val="en-US"/>
        </w:rPr>
      </w:pPr>
    </w:p>
    <w:sectPr w:rsidR="00E4430E" w:rsidRPr="000D02BD" w:rsidSect="00276AB9">
      <w:headerReference w:type="default" r:id="rId13"/>
      <w:footerReference w:type="defaul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430" w:rsidRDefault="00053430" w:rsidP="008B0C51">
      <w:r>
        <w:separator/>
      </w:r>
    </w:p>
  </w:endnote>
  <w:endnote w:type="continuationSeparator" w:id="0">
    <w:p w:rsidR="00053430" w:rsidRDefault="00053430" w:rsidP="008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DroidArabicKufi">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174" w:rsidRDefault="003A5174" w:rsidP="00523C62">
    <w:pPr>
      <w:pStyle w:val="Footer"/>
    </w:pPr>
  </w:p>
  <w:p w:rsidR="003A5174" w:rsidRDefault="003A517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430" w:rsidRDefault="00053430" w:rsidP="008B0C51">
      <w:r>
        <w:separator/>
      </w:r>
    </w:p>
  </w:footnote>
  <w:footnote w:type="continuationSeparator" w:id="0">
    <w:p w:rsidR="00053430" w:rsidRDefault="00053430" w:rsidP="008B0C51">
      <w:r>
        <w:continuationSeparator/>
      </w:r>
    </w:p>
  </w:footnote>
  <w:footnote w:id="1">
    <w:p w:rsidR="003A5174" w:rsidRPr="000D4F23" w:rsidRDefault="003A5174" w:rsidP="008B7D46">
      <w:pPr>
        <w:autoSpaceDE w:val="0"/>
        <w:autoSpaceDN w:val="0"/>
        <w:adjustRightInd w:val="0"/>
        <w:rPr>
          <w:sz w:val="20"/>
          <w:szCs w:val="20"/>
        </w:rPr>
      </w:pPr>
      <w:r>
        <w:rPr>
          <w:rStyle w:val="FootnoteReference"/>
        </w:rPr>
        <w:footnoteRef/>
      </w:r>
      <w:r>
        <w:t xml:space="preserve"> </w:t>
      </w:r>
      <w:r w:rsidRPr="003F79EC">
        <w:rPr>
          <w:b/>
          <w:bCs/>
        </w:rPr>
        <w:t>Palestinian Central Bureau of Statistics, 2018</w:t>
      </w:r>
      <w:r w:rsidR="008B7D46">
        <w:rPr>
          <w:lang w:val="en-US"/>
        </w:rPr>
        <w:t xml:space="preserve">. </w:t>
      </w:r>
      <w:r>
        <w:rPr>
          <w:lang w:val="en-US"/>
        </w:rPr>
        <w:t xml:space="preserve"> </w:t>
      </w:r>
      <w:r w:rsidR="000D4F23" w:rsidRPr="000D4F23">
        <w:rPr>
          <w:sz w:val="20"/>
          <w:szCs w:val="20"/>
        </w:rPr>
        <w:t>Population, H</w:t>
      </w:r>
      <w:r w:rsidR="000D4F23">
        <w:rPr>
          <w:sz w:val="20"/>
          <w:szCs w:val="20"/>
        </w:rPr>
        <w:t>ousing and Establishment Censu</w:t>
      </w:r>
      <w:r w:rsidR="000D4F23">
        <w:rPr>
          <w:sz w:val="20"/>
          <w:szCs w:val="20"/>
          <w:lang w:val="en-US"/>
        </w:rPr>
        <w:t xml:space="preserve"> </w:t>
      </w:r>
      <w:r w:rsidR="000D4F23" w:rsidRPr="000D4F23">
        <w:rPr>
          <w:sz w:val="20"/>
          <w:szCs w:val="20"/>
        </w:rPr>
        <w:t>2017, Final Results</w:t>
      </w:r>
      <w:r w:rsidR="000D4F23">
        <w:rPr>
          <w:sz w:val="20"/>
          <w:szCs w:val="20"/>
          <w:lang w:val="en-US"/>
        </w:rPr>
        <w:t xml:space="preserve"> </w:t>
      </w:r>
      <w:r w:rsidR="000D4F23" w:rsidRPr="000D4F23">
        <w:rPr>
          <w:sz w:val="20"/>
          <w:szCs w:val="20"/>
        </w:rPr>
        <w:t>Buildings Report</w:t>
      </w:r>
      <w:r w:rsidR="000D4F23">
        <w:rPr>
          <w:sz w:val="20"/>
          <w:szCs w:val="20"/>
          <w:lang w:val="en-US"/>
        </w:rPr>
        <w:t xml:space="preserve">. </w:t>
      </w:r>
      <w:r w:rsidR="000D4F23" w:rsidRPr="00D71586">
        <w:t xml:space="preserve"> </w:t>
      </w:r>
      <w:r w:rsidRPr="000D4F23">
        <w:rPr>
          <w:sz w:val="20"/>
          <w:szCs w:val="20"/>
        </w:rPr>
        <w:t>reference number 2378.</w:t>
      </w:r>
      <w:r w:rsidR="000D4F23" w:rsidRPr="000D4F23">
        <w:rPr>
          <w:sz w:val="20"/>
          <w:szCs w:val="20"/>
        </w:rPr>
        <w:t xml:space="preserve"> Ramallah - Palestine</w:t>
      </w:r>
    </w:p>
  </w:footnote>
  <w:footnote w:id="2">
    <w:p w:rsidR="003A5174" w:rsidRPr="003A5174" w:rsidRDefault="003A5174" w:rsidP="003A5174">
      <w:pPr>
        <w:pStyle w:val="FootnoteText"/>
        <w:rPr>
          <w:sz w:val="18"/>
          <w:szCs w:val="18"/>
          <w:lang w:val="en-US"/>
        </w:rPr>
      </w:pPr>
      <w:r w:rsidRPr="003A5174">
        <w:rPr>
          <w:rStyle w:val="FootnoteReference"/>
          <w:sz w:val="18"/>
          <w:szCs w:val="18"/>
        </w:rPr>
        <w:footnoteRef/>
      </w:r>
      <w:r w:rsidRPr="003A5174">
        <w:rPr>
          <w:sz w:val="18"/>
          <w:szCs w:val="18"/>
        </w:rPr>
        <w:t xml:space="preserve"> </w:t>
      </w:r>
      <w:r w:rsidRPr="003A5174">
        <w:rPr>
          <w:sz w:val="18"/>
          <w:szCs w:val="18"/>
          <w:lang w:val="en-US"/>
        </w:rPr>
        <w:t>Data exclude those parts of Jerusalem which were annexed by Israeli Occupation in 1967.</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174" w:rsidRPr="00EF6733" w:rsidRDefault="003A5174" w:rsidP="00064487">
    <w:pPr>
      <w:spacing w:line="360" w:lineRule="auto"/>
      <w:rPr>
        <w:rFonts w:asciiTheme="majorBidi" w:hAnsiTheme="majorBidi" w:cstheme="majorBidi"/>
        <w:sz w:val="18"/>
        <w:szCs w:val="18"/>
        <w:lang w:val="en-US"/>
      </w:rPr>
    </w:pPr>
    <w:r w:rsidRPr="00064487">
      <w:rPr>
        <w:sz w:val="18"/>
        <w:szCs w:val="18"/>
      </w:rPr>
      <w:t xml:space="preserve">PCBS: </w:t>
    </w:r>
    <w:r w:rsidRPr="00064487">
      <w:rPr>
        <w:rFonts w:asciiTheme="majorBidi" w:hAnsiTheme="majorBidi" w:cstheme="majorBidi"/>
        <w:sz w:val="18"/>
        <w:szCs w:val="18"/>
      </w:rPr>
      <w:t>Sustainable Housing Development in Palestine 2007</w:t>
    </w:r>
    <w:r>
      <w:rPr>
        <w:rFonts w:asciiTheme="majorBidi" w:hAnsiTheme="majorBidi" w:cstheme="majorBidi"/>
        <w:sz w:val="18"/>
        <w:szCs w:val="18"/>
        <w:lang w:val="en-US"/>
      </w:rPr>
      <w:t xml:space="preserve">, </w:t>
    </w:r>
    <w:r w:rsidRPr="00064487">
      <w:rPr>
        <w:rFonts w:asciiTheme="majorBidi" w:hAnsiTheme="majorBidi" w:cstheme="majorBidi"/>
        <w:sz w:val="18"/>
        <w:szCs w:val="18"/>
      </w:rPr>
      <w:t>2017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8297C"/>
    <w:multiLevelType w:val="hybridMultilevel"/>
    <w:tmpl w:val="44B43A96"/>
    <w:lvl w:ilvl="0" w:tplc="AC6AD6E2">
      <w:start w:val="1"/>
      <w:numFmt w:val="bullet"/>
      <w:lvlText w:val=""/>
      <w:lvlJc w:val="left"/>
      <w:pPr>
        <w:ind w:left="900" w:hanging="360"/>
      </w:pPr>
      <w:rPr>
        <w:rFonts w:ascii="Symbol" w:hAnsi="Symbol"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 w15:restartNumberingAfterBreak="0">
    <w:nsid w:val="3C583E64"/>
    <w:multiLevelType w:val="hybridMultilevel"/>
    <w:tmpl w:val="6A7205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46E88"/>
    <w:multiLevelType w:val="hybridMultilevel"/>
    <w:tmpl w:val="287C7256"/>
    <w:lvl w:ilvl="0" w:tplc="C3F0816A">
      <w:start w:val="1"/>
      <w:numFmt w:val="bullet"/>
      <w:lvlText w:val=""/>
      <w:lvlJc w:val="left"/>
      <w:pPr>
        <w:tabs>
          <w:tab w:val="num" w:pos="360"/>
        </w:tabs>
        <w:ind w:left="340" w:right="340" w:hanging="340"/>
      </w:pPr>
      <w:rPr>
        <w:rFonts w:ascii="Symbol" w:hAnsi="Symbol" w:cs="Times New Roman" w:hint="default"/>
      </w:rPr>
    </w:lvl>
    <w:lvl w:ilvl="1" w:tplc="6340FC60">
      <w:start w:val="1"/>
      <w:numFmt w:val="bullet"/>
      <w:lvlText w:val="o"/>
      <w:lvlJc w:val="left"/>
      <w:pPr>
        <w:tabs>
          <w:tab w:val="num" w:pos="1440"/>
        </w:tabs>
        <w:ind w:left="1440" w:right="1440" w:hanging="360"/>
      </w:pPr>
      <w:rPr>
        <w:rFonts w:ascii="Courier New" w:hAnsi="Courier New" w:cs="Courier New" w:hint="default"/>
      </w:rPr>
    </w:lvl>
    <w:lvl w:ilvl="2" w:tplc="BD32A63C">
      <w:start w:val="1"/>
      <w:numFmt w:val="bullet"/>
      <w:lvlText w:val=""/>
      <w:lvlJc w:val="left"/>
      <w:pPr>
        <w:tabs>
          <w:tab w:val="num" w:pos="2160"/>
        </w:tabs>
        <w:ind w:left="2160" w:right="2160" w:hanging="360"/>
      </w:pPr>
      <w:rPr>
        <w:rFonts w:ascii="Wingdings" w:hAnsi="Wingdings" w:cs="Times New Roman" w:hint="default"/>
      </w:rPr>
    </w:lvl>
    <w:lvl w:ilvl="3" w:tplc="B5FAC5C2">
      <w:start w:val="1"/>
      <w:numFmt w:val="bullet"/>
      <w:lvlText w:val=""/>
      <w:lvlJc w:val="left"/>
      <w:pPr>
        <w:tabs>
          <w:tab w:val="num" w:pos="2880"/>
        </w:tabs>
        <w:ind w:left="2880" w:right="2880" w:hanging="360"/>
      </w:pPr>
      <w:rPr>
        <w:rFonts w:ascii="Symbol" w:hAnsi="Symbol" w:cs="Times New Roman" w:hint="default"/>
      </w:rPr>
    </w:lvl>
    <w:lvl w:ilvl="4" w:tplc="3B8E0334">
      <w:start w:val="1"/>
      <w:numFmt w:val="bullet"/>
      <w:lvlText w:val="o"/>
      <w:lvlJc w:val="left"/>
      <w:pPr>
        <w:tabs>
          <w:tab w:val="num" w:pos="3600"/>
        </w:tabs>
        <w:ind w:left="3600" w:right="3600" w:hanging="360"/>
      </w:pPr>
      <w:rPr>
        <w:rFonts w:ascii="Courier New" w:hAnsi="Courier New" w:cs="Courier New" w:hint="default"/>
      </w:rPr>
    </w:lvl>
    <w:lvl w:ilvl="5" w:tplc="2D046790">
      <w:start w:val="1"/>
      <w:numFmt w:val="bullet"/>
      <w:lvlText w:val=""/>
      <w:lvlJc w:val="left"/>
      <w:pPr>
        <w:tabs>
          <w:tab w:val="num" w:pos="4320"/>
        </w:tabs>
        <w:ind w:left="4320" w:right="4320" w:hanging="360"/>
      </w:pPr>
      <w:rPr>
        <w:rFonts w:ascii="Wingdings" w:hAnsi="Wingdings" w:cs="Times New Roman" w:hint="default"/>
      </w:rPr>
    </w:lvl>
    <w:lvl w:ilvl="6" w:tplc="8EF0228A">
      <w:start w:val="1"/>
      <w:numFmt w:val="bullet"/>
      <w:lvlText w:val=""/>
      <w:lvlJc w:val="left"/>
      <w:pPr>
        <w:tabs>
          <w:tab w:val="num" w:pos="5040"/>
        </w:tabs>
        <w:ind w:left="5040" w:right="5040" w:hanging="360"/>
      </w:pPr>
      <w:rPr>
        <w:rFonts w:ascii="Symbol" w:hAnsi="Symbol" w:cs="Times New Roman" w:hint="default"/>
      </w:rPr>
    </w:lvl>
    <w:lvl w:ilvl="7" w:tplc="89341E88">
      <w:start w:val="1"/>
      <w:numFmt w:val="bullet"/>
      <w:lvlText w:val="o"/>
      <w:lvlJc w:val="left"/>
      <w:pPr>
        <w:tabs>
          <w:tab w:val="num" w:pos="5760"/>
        </w:tabs>
        <w:ind w:left="5760" w:right="5760" w:hanging="360"/>
      </w:pPr>
      <w:rPr>
        <w:rFonts w:ascii="Courier New" w:hAnsi="Courier New" w:cs="Courier New" w:hint="default"/>
      </w:rPr>
    </w:lvl>
    <w:lvl w:ilvl="8" w:tplc="97FAC63E">
      <w:start w:val="1"/>
      <w:numFmt w:val="bullet"/>
      <w:lvlText w:val=""/>
      <w:lvlJc w:val="left"/>
      <w:pPr>
        <w:tabs>
          <w:tab w:val="num" w:pos="6480"/>
        </w:tabs>
        <w:ind w:left="6480" w:right="6480" w:hanging="360"/>
      </w:pPr>
      <w:rPr>
        <w:rFonts w:ascii="Wingdings" w:hAnsi="Wingdings" w:cs="Times New Roman" w:hint="default"/>
      </w:rPr>
    </w:lvl>
  </w:abstractNum>
  <w:abstractNum w:abstractNumId="3" w15:restartNumberingAfterBreak="0">
    <w:nsid w:val="42075902"/>
    <w:multiLevelType w:val="hybridMultilevel"/>
    <w:tmpl w:val="D6E0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o:colormru v:ext="edit" colors="#903,#6c0000,#820000,#740000,#0c0,maroon,#a50021,#900"/>
    </o:shapedefaults>
  </w:hdrShapeDefaults>
  <w:footnotePr>
    <w:footnote w:id="-1"/>
    <w:footnote w:id="0"/>
  </w:footnotePr>
  <w:endnotePr>
    <w:endnote w:id="-1"/>
    <w:endnote w:id="0"/>
  </w:endnotePr>
  <w:compat>
    <w:compatSetting w:name="compatibilityMode" w:uri="http://schemas.microsoft.com/office/word" w:val="12"/>
  </w:compat>
  <w:rsids>
    <w:rsidRoot w:val="00EA2A1C"/>
    <w:rsid w:val="000006EB"/>
    <w:rsid w:val="000016B2"/>
    <w:rsid w:val="00002778"/>
    <w:rsid w:val="000028AA"/>
    <w:rsid w:val="00002C3A"/>
    <w:rsid w:val="00002DE8"/>
    <w:rsid w:val="0000309E"/>
    <w:rsid w:val="0000484D"/>
    <w:rsid w:val="00004985"/>
    <w:rsid w:val="00005301"/>
    <w:rsid w:val="000059CF"/>
    <w:rsid w:val="0000710B"/>
    <w:rsid w:val="00007B79"/>
    <w:rsid w:val="00012348"/>
    <w:rsid w:val="00013DE8"/>
    <w:rsid w:val="00014E74"/>
    <w:rsid w:val="0001592A"/>
    <w:rsid w:val="0001794E"/>
    <w:rsid w:val="000202A9"/>
    <w:rsid w:val="0002281E"/>
    <w:rsid w:val="00023C0E"/>
    <w:rsid w:val="00024E1B"/>
    <w:rsid w:val="000256A2"/>
    <w:rsid w:val="00026780"/>
    <w:rsid w:val="00030F1B"/>
    <w:rsid w:val="000319A8"/>
    <w:rsid w:val="00033C9D"/>
    <w:rsid w:val="00034616"/>
    <w:rsid w:val="00036E35"/>
    <w:rsid w:val="000372AD"/>
    <w:rsid w:val="00037D2A"/>
    <w:rsid w:val="00040781"/>
    <w:rsid w:val="000411D2"/>
    <w:rsid w:val="00041316"/>
    <w:rsid w:val="00042F7C"/>
    <w:rsid w:val="0004313C"/>
    <w:rsid w:val="00045651"/>
    <w:rsid w:val="00045B18"/>
    <w:rsid w:val="00046466"/>
    <w:rsid w:val="00047569"/>
    <w:rsid w:val="00047B94"/>
    <w:rsid w:val="0005006F"/>
    <w:rsid w:val="00050F4A"/>
    <w:rsid w:val="000513F5"/>
    <w:rsid w:val="00051C42"/>
    <w:rsid w:val="00053430"/>
    <w:rsid w:val="00054669"/>
    <w:rsid w:val="00055B0B"/>
    <w:rsid w:val="00055B1F"/>
    <w:rsid w:val="00057A2E"/>
    <w:rsid w:val="00060841"/>
    <w:rsid w:val="00060948"/>
    <w:rsid w:val="00060958"/>
    <w:rsid w:val="000611FF"/>
    <w:rsid w:val="00063FD6"/>
    <w:rsid w:val="00064487"/>
    <w:rsid w:val="00064FFF"/>
    <w:rsid w:val="000656AD"/>
    <w:rsid w:val="000658EF"/>
    <w:rsid w:val="00065A92"/>
    <w:rsid w:val="00066331"/>
    <w:rsid w:val="0006673E"/>
    <w:rsid w:val="00067683"/>
    <w:rsid w:val="00067A9F"/>
    <w:rsid w:val="00070F48"/>
    <w:rsid w:val="0007197A"/>
    <w:rsid w:val="00072118"/>
    <w:rsid w:val="00072547"/>
    <w:rsid w:val="00072619"/>
    <w:rsid w:val="00072CB8"/>
    <w:rsid w:val="000734BE"/>
    <w:rsid w:val="0007556F"/>
    <w:rsid w:val="00075647"/>
    <w:rsid w:val="000764D6"/>
    <w:rsid w:val="0007779E"/>
    <w:rsid w:val="000777BA"/>
    <w:rsid w:val="000815B1"/>
    <w:rsid w:val="00081C6C"/>
    <w:rsid w:val="00081C7F"/>
    <w:rsid w:val="000828EE"/>
    <w:rsid w:val="00082CD0"/>
    <w:rsid w:val="000833DB"/>
    <w:rsid w:val="00083468"/>
    <w:rsid w:val="00083B3E"/>
    <w:rsid w:val="000843FE"/>
    <w:rsid w:val="000847E5"/>
    <w:rsid w:val="000854FE"/>
    <w:rsid w:val="00086517"/>
    <w:rsid w:val="00086B69"/>
    <w:rsid w:val="000874BA"/>
    <w:rsid w:val="0009008F"/>
    <w:rsid w:val="00090904"/>
    <w:rsid w:val="0009102A"/>
    <w:rsid w:val="00091848"/>
    <w:rsid w:val="00091C9B"/>
    <w:rsid w:val="00092B4F"/>
    <w:rsid w:val="000933C0"/>
    <w:rsid w:val="0009496F"/>
    <w:rsid w:val="00094E5A"/>
    <w:rsid w:val="0009543D"/>
    <w:rsid w:val="00096352"/>
    <w:rsid w:val="00096564"/>
    <w:rsid w:val="00096C3F"/>
    <w:rsid w:val="000A0483"/>
    <w:rsid w:val="000A192E"/>
    <w:rsid w:val="000A2BF5"/>
    <w:rsid w:val="000A3FE3"/>
    <w:rsid w:val="000A5E1C"/>
    <w:rsid w:val="000A6160"/>
    <w:rsid w:val="000A6C60"/>
    <w:rsid w:val="000B2D88"/>
    <w:rsid w:val="000B43B0"/>
    <w:rsid w:val="000B478A"/>
    <w:rsid w:val="000B4EEB"/>
    <w:rsid w:val="000B7641"/>
    <w:rsid w:val="000C1529"/>
    <w:rsid w:val="000C15E8"/>
    <w:rsid w:val="000C1711"/>
    <w:rsid w:val="000C197B"/>
    <w:rsid w:val="000C2955"/>
    <w:rsid w:val="000C2C2E"/>
    <w:rsid w:val="000C31A0"/>
    <w:rsid w:val="000C3804"/>
    <w:rsid w:val="000C3AD6"/>
    <w:rsid w:val="000C4FEF"/>
    <w:rsid w:val="000C50F1"/>
    <w:rsid w:val="000C5B21"/>
    <w:rsid w:val="000C6144"/>
    <w:rsid w:val="000C62C4"/>
    <w:rsid w:val="000D02BD"/>
    <w:rsid w:val="000D0BC2"/>
    <w:rsid w:val="000D0FAE"/>
    <w:rsid w:val="000D1067"/>
    <w:rsid w:val="000D10B1"/>
    <w:rsid w:val="000D1799"/>
    <w:rsid w:val="000D1845"/>
    <w:rsid w:val="000D3DDA"/>
    <w:rsid w:val="000D4EBE"/>
    <w:rsid w:val="000D4F23"/>
    <w:rsid w:val="000D6350"/>
    <w:rsid w:val="000D7D5D"/>
    <w:rsid w:val="000E0134"/>
    <w:rsid w:val="000E1590"/>
    <w:rsid w:val="000E2561"/>
    <w:rsid w:val="000E35B5"/>
    <w:rsid w:val="000E5D71"/>
    <w:rsid w:val="000F0822"/>
    <w:rsid w:val="000F0B2C"/>
    <w:rsid w:val="000F0B69"/>
    <w:rsid w:val="000F139E"/>
    <w:rsid w:val="000F13D9"/>
    <w:rsid w:val="000F1689"/>
    <w:rsid w:val="000F2A7F"/>
    <w:rsid w:val="000F3F66"/>
    <w:rsid w:val="000F5017"/>
    <w:rsid w:val="000F5C19"/>
    <w:rsid w:val="000F6262"/>
    <w:rsid w:val="000F7434"/>
    <w:rsid w:val="001016EE"/>
    <w:rsid w:val="0010209A"/>
    <w:rsid w:val="001024E6"/>
    <w:rsid w:val="001025B0"/>
    <w:rsid w:val="00105A02"/>
    <w:rsid w:val="00106383"/>
    <w:rsid w:val="00106E24"/>
    <w:rsid w:val="00107C62"/>
    <w:rsid w:val="001114EA"/>
    <w:rsid w:val="001127D0"/>
    <w:rsid w:val="001131A2"/>
    <w:rsid w:val="0011396D"/>
    <w:rsid w:val="001156FD"/>
    <w:rsid w:val="0012001B"/>
    <w:rsid w:val="001214BF"/>
    <w:rsid w:val="00121D37"/>
    <w:rsid w:val="0012237A"/>
    <w:rsid w:val="00122EC9"/>
    <w:rsid w:val="00123B31"/>
    <w:rsid w:val="00125ED3"/>
    <w:rsid w:val="00127599"/>
    <w:rsid w:val="00127679"/>
    <w:rsid w:val="001276AA"/>
    <w:rsid w:val="00130775"/>
    <w:rsid w:val="0013114C"/>
    <w:rsid w:val="00131BF0"/>
    <w:rsid w:val="00131F07"/>
    <w:rsid w:val="00131F84"/>
    <w:rsid w:val="0013273E"/>
    <w:rsid w:val="00133871"/>
    <w:rsid w:val="0013572A"/>
    <w:rsid w:val="00136D5B"/>
    <w:rsid w:val="0013777F"/>
    <w:rsid w:val="00137DC2"/>
    <w:rsid w:val="00142283"/>
    <w:rsid w:val="00144F6A"/>
    <w:rsid w:val="00145D4A"/>
    <w:rsid w:val="00146373"/>
    <w:rsid w:val="0014725C"/>
    <w:rsid w:val="001475EF"/>
    <w:rsid w:val="00147800"/>
    <w:rsid w:val="001514F7"/>
    <w:rsid w:val="001529AC"/>
    <w:rsid w:val="00152D10"/>
    <w:rsid w:val="00152E45"/>
    <w:rsid w:val="00153A9F"/>
    <w:rsid w:val="0015438E"/>
    <w:rsid w:val="00155465"/>
    <w:rsid w:val="001554C3"/>
    <w:rsid w:val="001554E3"/>
    <w:rsid w:val="0015570D"/>
    <w:rsid w:val="001558B7"/>
    <w:rsid w:val="00157198"/>
    <w:rsid w:val="00160706"/>
    <w:rsid w:val="00160BB1"/>
    <w:rsid w:val="00160F98"/>
    <w:rsid w:val="00161EA0"/>
    <w:rsid w:val="00161F7A"/>
    <w:rsid w:val="0016256F"/>
    <w:rsid w:val="00164EEE"/>
    <w:rsid w:val="00166A51"/>
    <w:rsid w:val="00170649"/>
    <w:rsid w:val="001715BB"/>
    <w:rsid w:val="00172206"/>
    <w:rsid w:val="00173225"/>
    <w:rsid w:val="001767FD"/>
    <w:rsid w:val="00182045"/>
    <w:rsid w:val="00183678"/>
    <w:rsid w:val="00184396"/>
    <w:rsid w:val="001847D5"/>
    <w:rsid w:val="001866EE"/>
    <w:rsid w:val="0018710E"/>
    <w:rsid w:val="00190177"/>
    <w:rsid w:val="0019066B"/>
    <w:rsid w:val="0019093C"/>
    <w:rsid w:val="0019237F"/>
    <w:rsid w:val="00195149"/>
    <w:rsid w:val="0019535A"/>
    <w:rsid w:val="001958EF"/>
    <w:rsid w:val="001959A0"/>
    <w:rsid w:val="00196480"/>
    <w:rsid w:val="00197634"/>
    <w:rsid w:val="001A141B"/>
    <w:rsid w:val="001A3918"/>
    <w:rsid w:val="001A4D22"/>
    <w:rsid w:val="001A4FD6"/>
    <w:rsid w:val="001A50D4"/>
    <w:rsid w:val="001A54E9"/>
    <w:rsid w:val="001A5BA6"/>
    <w:rsid w:val="001B163C"/>
    <w:rsid w:val="001B2F08"/>
    <w:rsid w:val="001B420E"/>
    <w:rsid w:val="001B6828"/>
    <w:rsid w:val="001B7759"/>
    <w:rsid w:val="001B7D38"/>
    <w:rsid w:val="001B7D5A"/>
    <w:rsid w:val="001C0249"/>
    <w:rsid w:val="001C0EA6"/>
    <w:rsid w:val="001C0EF9"/>
    <w:rsid w:val="001C2234"/>
    <w:rsid w:val="001C3393"/>
    <w:rsid w:val="001C4254"/>
    <w:rsid w:val="001C4611"/>
    <w:rsid w:val="001C6F4E"/>
    <w:rsid w:val="001C7382"/>
    <w:rsid w:val="001C74CB"/>
    <w:rsid w:val="001D023C"/>
    <w:rsid w:val="001D0AAD"/>
    <w:rsid w:val="001D1A6D"/>
    <w:rsid w:val="001D1AA6"/>
    <w:rsid w:val="001D2025"/>
    <w:rsid w:val="001D20B6"/>
    <w:rsid w:val="001D27C8"/>
    <w:rsid w:val="001D3DE9"/>
    <w:rsid w:val="001D3ED0"/>
    <w:rsid w:val="001D4CC8"/>
    <w:rsid w:val="001D58AE"/>
    <w:rsid w:val="001D60F5"/>
    <w:rsid w:val="001D7142"/>
    <w:rsid w:val="001D7353"/>
    <w:rsid w:val="001E07B5"/>
    <w:rsid w:val="001E1D36"/>
    <w:rsid w:val="001E204C"/>
    <w:rsid w:val="001E3B0B"/>
    <w:rsid w:val="001E41CE"/>
    <w:rsid w:val="001E4D5D"/>
    <w:rsid w:val="001E7EF3"/>
    <w:rsid w:val="001F04FF"/>
    <w:rsid w:val="001F238B"/>
    <w:rsid w:val="001F2718"/>
    <w:rsid w:val="001F2EB3"/>
    <w:rsid w:val="001F45B1"/>
    <w:rsid w:val="001F476F"/>
    <w:rsid w:val="001F4B17"/>
    <w:rsid w:val="001F574A"/>
    <w:rsid w:val="001F750B"/>
    <w:rsid w:val="00201E52"/>
    <w:rsid w:val="00203410"/>
    <w:rsid w:val="00203627"/>
    <w:rsid w:val="00203D7D"/>
    <w:rsid w:val="00205D85"/>
    <w:rsid w:val="00207327"/>
    <w:rsid w:val="00207495"/>
    <w:rsid w:val="00207C6E"/>
    <w:rsid w:val="00210F45"/>
    <w:rsid w:val="002114DF"/>
    <w:rsid w:val="0021565F"/>
    <w:rsid w:val="00215933"/>
    <w:rsid w:val="00216668"/>
    <w:rsid w:val="00217A87"/>
    <w:rsid w:val="00220A82"/>
    <w:rsid w:val="00223B00"/>
    <w:rsid w:val="00223FDD"/>
    <w:rsid w:val="002250A1"/>
    <w:rsid w:val="00225667"/>
    <w:rsid w:val="002272C7"/>
    <w:rsid w:val="002273A3"/>
    <w:rsid w:val="00230912"/>
    <w:rsid w:val="00230C3C"/>
    <w:rsid w:val="00230C9E"/>
    <w:rsid w:val="00232486"/>
    <w:rsid w:val="002327C7"/>
    <w:rsid w:val="002338E7"/>
    <w:rsid w:val="00233BDB"/>
    <w:rsid w:val="00234A87"/>
    <w:rsid w:val="002372FA"/>
    <w:rsid w:val="002373C4"/>
    <w:rsid w:val="00237DE5"/>
    <w:rsid w:val="002415C6"/>
    <w:rsid w:val="002416B5"/>
    <w:rsid w:val="00244047"/>
    <w:rsid w:val="00244318"/>
    <w:rsid w:val="00244385"/>
    <w:rsid w:val="00246561"/>
    <w:rsid w:val="00246602"/>
    <w:rsid w:val="00247596"/>
    <w:rsid w:val="00251644"/>
    <w:rsid w:val="002519DE"/>
    <w:rsid w:val="00251AF0"/>
    <w:rsid w:val="0025221F"/>
    <w:rsid w:val="00254072"/>
    <w:rsid w:val="00254513"/>
    <w:rsid w:val="002547F8"/>
    <w:rsid w:val="0025523A"/>
    <w:rsid w:val="002555FF"/>
    <w:rsid w:val="00257961"/>
    <w:rsid w:val="00257C93"/>
    <w:rsid w:val="00260319"/>
    <w:rsid w:val="00261EE4"/>
    <w:rsid w:val="00263483"/>
    <w:rsid w:val="00263622"/>
    <w:rsid w:val="00264C60"/>
    <w:rsid w:val="00264DDA"/>
    <w:rsid w:val="0026526E"/>
    <w:rsid w:val="002657A1"/>
    <w:rsid w:val="0026660B"/>
    <w:rsid w:val="002669CD"/>
    <w:rsid w:val="00266C7B"/>
    <w:rsid w:val="002704FF"/>
    <w:rsid w:val="0027179D"/>
    <w:rsid w:val="002724AF"/>
    <w:rsid w:val="00273AFA"/>
    <w:rsid w:val="002746F1"/>
    <w:rsid w:val="00276AB9"/>
    <w:rsid w:val="002806B7"/>
    <w:rsid w:val="002813D4"/>
    <w:rsid w:val="00281647"/>
    <w:rsid w:val="00284CFF"/>
    <w:rsid w:val="0028663E"/>
    <w:rsid w:val="00286CDA"/>
    <w:rsid w:val="00286F31"/>
    <w:rsid w:val="002871BF"/>
    <w:rsid w:val="0029044F"/>
    <w:rsid w:val="002910B9"/>
    <w:rsid w:val="002919EE"/>
    <w:rsid w:val="00292723"/>
    <w:rsid w:val="00293219"/>
    <w:rsid w:val="00295639"/>
    <w:rsid w:val="00295D49"/>
    <w:rsid w:val="002969D1"/>
    <w:rsid w:val="00296EA2"/>
    <w:rsid w:val="0029744B"/>
    <w:rsid w:val="002974E6"/>
    <w:rsid w:val="002975C5"/>
    <w:rsid w:val="002A0096"/>
    <w:rsid w:val="002A04BC"/>
    <w:rsid w:val="002A2B14"/>
    <w:rsid w:val="002A408D"/>
    <w:rsid w:val="002A4A34"/>
    <w:rsid w:val="002A56F3"/>
    <w:rsid w:val="002A6A42"/>
    <w:rsid w:val="002A71FF"/>
    <w:rsid w:val="002B2644"/>
    <w:rsid w:val="002B297A"/>
    <w:rsid w:val="002B4021"/>
    <w:rsid w:val="002B4A06"/>
    <w:rsid w:val="002B5A0F"/>
    <w:rsid w:val="002B79E4"/>
    <w:rsid w:val="002C0157"/>
    <w:rsid w:val="002C0607"/>
    <w:rsid w:val="002C1A81"/>
    <w:rsid w:val="002C1BF8"/>
    <w:rsid w:val="002C1C64"/>
    <w:rsid w:val="002C1CE1"/>
    <w:rsid w:val="002C1FA2"/>
    <w:rsid w:val="002C4708"/>
    <w:rsid w:val="002C490F"/>
    <w:rsid w:val="002C5608"/>
    <w:rsid w:val="002C64EA"/>
    <w:rsid w:val="002C66B1"/>
    <w:rsid w:val="002C68D5"/>
    <w:rsid w:val="002C6A5B"/>
    <w:rsid w:val="002D1B23"/>
    <w:rsid w:val="002D2A21"/>
    <w:rsid w:val="002D4AF7"/>
    <w:rsid w:val="002D58DE"/>
    <w:rsid w:val="002D5AB5"/>
    <w:rsid w:val="002D5ABB"/>
    <w:rsid w:val="002D6580"/>
    <w:rsid w:val="002D70DA"/>
    <w:rsid w:val="002E03DD"/>
    <w:rsid w:val="002E06FB"/>
    <w:rsid w:val="002E111B"/>
    <w:rsid w:val="002E1452"/>
    <w:rsid w:val="002E44FD"/>
    <w:rsid w:val="002E49E0"/>
    <w:rsid w:val="002E4B82"/>
    <w:rsid w:val="002E6E89"/>
    <w:rsid w:val="002E6EC7"/>
    <w:rsid w:val="002F0914"/>
    <w:rsid w:val="002F1076"/>
    <w:rsid w:val="002F10FD"/>
    <w:rsid w:val="002F1D08"/>
    <w:rsid w:val="002F1D8B"/>
    <w:rsid w:val="002F424F"/>
    <w:rsid w:val="002F4845"/>
    <w:rsid w:val="002F4C50"/>
    <w:rsid w:val="003000BE"/>
    <w:rsid w:val="00300857"/>
    <w:rsid w:val="003020F9"/>
    <w:rsid w:val="00304436"/>
    <w:rsid w:val="003055E7"/>
    <w:rsid w:val="003060D0"/>
    <w:rsid w:val="003066FF"/>
    <w:rsid w:val="00306D91"/>
    <w:rsid w:val="00306EC9"/>
    <w:rsid w:val="003072F9"/>
    <w:rsid w:val="00307D82"/>
    <w:rsid w:val="00307E28"/>
    <w:rsid w:val="003106E7"/>
    <w:rsid w:val="003107CE"/>
    <w:rsid w:val="00310F3F"/>
    <w:rsid w:val="003112E1"/>
    <w:rsid w:val="00312B71"/>
    <w:rsid w:val="00313FF7"/>
    <w:rsid w:val="00314717"/>
    <w:rsid w:val="00317981"/>
    <w:rsid w:val="00317C4B"/>
    <w:rsid w:val="00320DE0"/>
    <w:rsid w:val="003211A2"/>
    <w:rsid w:val="0032153D"/>
    <w:rsid w:val="003256B6"/>
    <w:rsid w:val="00325F7C"/>
    <w:rsid w:val="00327FC9"/>
    <w:rsid w:val="00330386"/>
    <w:rsid w:val="00332226"/>
    <w:rsid w:val="00332F62"/>
    <w:rsid w:val="003331B9"/>
    <w:rsid w:val="00333953"/>
    <w:rsid w:val="00333BBB"/>
    <w:rsid w:val="00333FC1"/>
    <w:rsid w:val="0033461A"/>
    <w:rsid w:val="003351EB"/>
    <w:rsid w:val="00335257"/>
    <w:rsid w:val="00335607"/>
    <w:rsid w:val="00335EA0"/>
    <w:rsid w:val="00335F3F"/>
    <w:rsid w:val="00335FEC"/>
    <w:rsid w:val="00337CEF"/>
    <w:rsid w:val="00340209"/>
    <w:rsid w:val="00340461"/>
    <w:rsid w:val="00340794"/>
    <w:rsid w:val="00342ADB"/>
    <w:rsid w:val="00343D7A"/>
    <w:rsid w:val="00344032"/>
    <w:rsid w:val="00344828"/>
    <w:rsid w:val="00344883"/>
    <w:rsid w:val="00344FD1"/>
    <w:rsid w:val="00345299"/>
    <w:rsid w:val="003452FE"/>
    <w:rsid w:val="00345588"/>
    <w:rsid w:val="0034558C"/>
    <w:rsid w:val="003464FD"/>
    <w:rsid w:val="00347B35"/>
    <w:rsid w:val="0035164D"/>
    <w:rsid w:val="003548DE"/>
    <w:rsid w:val="00354C86"/>
    <w:rsid w:val="003557E2"/>
    <w:rsid w:val="0035585B"/>
    <w:rsid w:val="00355EC4"/>
    <w:rsid w:val="0035616A"/>
    <w:rsid w:val="003561C6"/>
    <w:rsid w:val="003563F7"/>
    <w:rsid w:val="003565AB"/>
    <w:rsid w:val="00361298"/>
    <w:rsid w:val="0036281F"/>
    <w:rsid w:val="0036477E"/>
    <w:rsid w:val="003654BA"/>
    <w:rsid w:val="00366028"/>
    <w:rsid w:val="00366504"/>
    <w:rsid w:val="00366D63"/>
    <w:rsid w:val="00366E68"/>
    <w:rsid w:val="0036717C"/>
    <w:rsid w:val="00370941"/>
    <w:rsid w:val="0037145C"/>
    <w:rsid w:val="00372319"/>
    <w:rsid w:val="00376250"/>
    <w:rsid w:val="00380AD9"/>
    <w:rsid w:val="00380B5C"/>
    <w:rsid w:val="00381F5C"/>
    <w:rsid w:val="00382EB8"/>
    <w:rsid w:val="00383304"/>
    <w:rsid w:val="00386172"/>
    <w:rsid w:val="00386402"/>
    <w:rsid w:val="003872E6"/>
    <w:rsid w:val="00387745"/>
    <w:rsid w:val="00391C00"/>
    <w:rsid w:val="00393011"/>
    <w:rsid w:val="003931A4"/>
    <w:rsid w:val="00394828"/>
    <w:rsid w:val="00397783"/>
    <w:rsid w:val="003A01DD"/>
    <w:rsid w:val="003A0D27"/>
    <w:rsid w:val="003A2806"/>
    <w:rsid w:val="003A3295"/>
    <w:rsid w:val="003A5174"/>
    <w:rsid w:val="003A545F"/>
    <w:rsid w:val="003A75BE"/>
    <w:rsid w:val="003A791C"/>
    <w:rsid w:val="003A7B9D"/>
    <w:rsid w:val="003B06B7"/>
    <w:rsid w:val="003B09DA"/>
    <w:rsid w:val="003B12A4"/>
    <w:rsid w:val="003B2FD7"/>
    <w:rsid w:val="003B36A7"/>
    <w:rsid w:val="003B41B1"/>
    <w:rsid w:val="003B4514"/>
    <w:rsid w:val="003B4525"/>
    <w:rsid w:val="003C0B66"/>
    <w:rsid w:val="003C0DA3"/>
    <w:rsid w:val="003C1948"/>
    <w:rsid w:val="003C1E0D"/>
    <w:rsid w:val="003C5411"/>
    <w:rsid w:val="003C65A9"/>
    <w:rsid w:val="003D2C65"/>
    <w:rsid w:val="003D44CD"/>
    <w:rsid w:val="003D727E"/>
    <w:rsid w:val="003E08C1"/>
    <w:rsid w:val="003E0A5D"/>
    <w:rsid w:val="003E21B0"/>
    <w:rsid w:val="003E2800"/>
    <w:rsid w:val="003E2CFB"/>
    <w:rsid w:val="003E5AF7"/>
    <w:rsid w:val="003E5FED"/>
    <w:rsid w:val="003E64E9"/>
    <w:rsid w:val="003E6CA4"/>
    <w:rsid w:val="003F07E4"/>
    <w:rsid w:val="003F0CE4"/>
    <w:rsid w:val="003F1ED9"/>
    <w:rsid w:val="003F4525"/>
    <w:rsid w:val="003F5323"/>
    <w:rsid w:val="003F5EEE"/>
    <w:rsid w:val="003F6045"/>
    <w:rsid w:val="003F7BFD"/>
    <w:rsid w:val="003F7DB8"/>
    <w:rsid w:val="004008DE"/>
    <w:rsid w:val="00403119"/>
    <w:rsid w:val="00403B8C"/>
    <w:rsid w:val="0040530F"/>
    <w:rsid w:val="00405337"/>
    <w:rsid w:val="00405B4C"/>
    <w:rsid w:val="00405DD2"/>
    <w:rsid w:val="00406C1D"/>
    <w:rsid w:val="00407E9F"/>
    <w:rsid w:val="00411742"/>
    <w:rsid w:val="00412B07"/>
    <w:rsid w:val="00420172"/>
    <w:rsid w:val="004215BE"/>
    <w:rsid w:val="00421614"/>
    <w:rsid w:val="00421BA2"/>
    <w:rsid w:val="00423759"/>
    <w:rsid w:val="00424B2D"/>
    <w:rsid w:val="00425506"/>
    <w:rsid w:val="00425652"/>
    <w:rsid w:val="00425EF2"/>
    <w:rsid w:val="00427D03"/>
    <w:rsid w:val="00431FB2"/>
    <w:rsid w:val="00440C00"/>
    <w:rsid w:val="004427D2"/>
    <w:rsid w:val="004429E9"/>
    <w:rsid w:val="00443A90"/>
    <w:rsid w:val="00444A34"/>
    <w:rsid w:val="00444F07"/>
    <w:rsid w:val="00445D34"/>
    <w:rsid w:val="00446925"/>
    <w:rsid w:val="00446BA8"/>
    <w:rsid w:val="00446BB4"/>
    <w:rsid w:val="00447249"/>
    <w:rsid w:val="004531EE"/>
    <w:rsid w:val="0045357F"/>
    <w:rsid w:val="00454443"/>
    <w:rsid w:val="0045495C"/>
    <w:rsid w:val="00460469"/>
    <w:rsid w:val="00461E20"/>
    <w:rsid w:val="00462069"/>
    <w:rsid w:val="004620CC"/>
    <w:rsid w:val="00463F20"/>
    <w:rsid w:val="004643D4"/>
    <w:rsid w:val="00466FB8"/>
    <w:rsid w:val="004708D4"/>
    <w:rsid w:val="00471058"/>
    <w:rsid w:val="0047146B"/>
    <w:rsid w:val="0047161C"/>
    <w:rsid w:val="00471D13"/>
    <w:rsid w:val="004720EE"/>
    <w:rsid w:val="00472909"/>
    <w:rsid w:val="00475EFC"/>
    <w:rsid w:val="00476BBE"/>
    <w:rsid w:val="004770D3"/>
    <w:rsid w:val="00477C91"/>
    <w:rsid w:val="004805FF"/>
    <w:rsid w:val="004810C7"/>
    <w:rsid w:val="004813C5"/>
    <w:rsid w:val="004814E4"/>
    <w:rsid w:val="00481F25"/>
    <w:rsid w:val="00483719"/>
    <w:rsid w:val="00483B47"/>
    <w:rsid w:val="00483B86"/>
    <w:rsid w:val="00483E04"/>
    <w:rsid w:val="00486203"/>
    <w:rsid w:val="00486C32"/>
    <w:rsid w:val="004914C5"/>
    <w:rsid w:val="004918A9"/>
    <w:rsid w:val="00491CA7"/>
    <w:rsid w:val="00491D21"/>
    <w:rsid w:val="00492060"/>
    <w:rsid w:val="004940D0"/>
    <w:rsid w:val="0049571E"/>
    <w:rsid w:val="00497774"/>
    <w:rsid w:val="004A0C5C"/>
    <w:rsid w:val="004A0F5F"/>
    <w:rsid w:val="004A2291"/>
    <w:rsid w:val="004A2D8E"/>
    <w:rsid w:val="004A3E85"/>
    <w:rsid w:val="004A7257"/>
    <w:rsid w:val="004B044D"/>
    <w:rsid w:val="004B16DB"/>
    <w:rsid w:val="004B6961"/>
    <w:rsid w:val="004B7898"/>
    <w:rsid w:val="004B7B37"/>
    <w:rsid w:val="004C1343"/>
    <w:rsid w:val="004C182D"/>
    <w:rsid w:val="004C1D14"/>
    <w:rsid w:val="004C1F23"/>
    <w:rsid w:val="004C265C"/>
    <w:rsid w:val="004C27FA"/>
    <w:rsid w:val="004C35D0"/>
    <w:rsid w:val="004C6CFF"/>
    <w:rsid w:val="004D08B0"/>
    <w:rsid w:val="004D249C"/>
    <w:rsid w:val="004D3924"/>
    <w:rsid w:val="004D3EC6"/>
    <w:rsid w:val="004D5399"/>
    <w:rsid w:val="004D6132"/>
    <w:rsid w:val="004D79FE"/>
    <w:rsid w:val="004E05B6"/>
    <w:rsid w:val="004E08C6"/>
    <w:rsid w:val="004E0AF2"/>
    <w:rsid w:val="004E1DB5"/>
    <w:rsid w:val="004E32DC"/>
    <w:rsid w:val="004E3687"/>
    <w:rsid w:val="004E3C49"/>
    <w:rsid w:val="004E457D"/>
    <w:rsid w:val="004E5657"/>
    <w:rsid w:val="004E60F4"/>
    <w:rsid w:val="004E76C8"/>
    <w:rsid w:val="004E7E67"/>
    <w:rsid w:val="004F0B2B"/>
    <w:rsid w:val="004F11E7"/>
    <w:rsid w:val="004F1663"/>
    <w:rsid w:val="004F392B"/>
    <w:rsid w:val="004F4521"/>
    <w:rsid w:val="004F4EB3"/>
    <w:rsid w:val="004F5545"/>
    <w:rsid w:val="004F63FE"/>
    <w:rsid w:val="005007F0"/>
    <w:rsid w:val="00501264"/>
    <w:rsid w:val="00502C56"/>
    <w:rsid w:val="005047BF"/>
    <w:rsid w:val="005049F7"/>
    <w:rsid w:val="00505109"/>
    <w:rsid w:val="00506991"/>
    <w:rsid w:val="00507133"/>
    <w:rsid w:val="00507C00"/>
    <w:rsid w:val="005113BF"/>
    <w:rsid w:val="00512203"/>
    <w:rsid w:val="00512A6A"/>
    <w:rsid w:val="005135F7"/>
    <w:rsid w:val="00514A3C"/>
    <w:rsid w:val="00515111"/>
    <w:rsid w:val="00515FFD"/>
    <w:rsid w:val="005172CB"/>
    <w:rsid w:val="005172FB"/>
    <w:rsid w:val="0051775C"/>
    <w:rsid w:val="00523C62"/>
    <w:rsid w:val="00525AFB"/>
    <w:rsid w:val="0052651B"/>
    <w:rsid w:val="00532569"/>
    <w:rsid w:val="0053356A"/>
    <w:rsid w:val="00533C32"/>
    <w:rsid w:val="005346D2"/>
    <w:rsid w:val="00534823"/>
    <w:rsid w:val="0053591E"/>
    <w:rsid w:val="00537323"/>
    <w:rsid w:val="00537749"/>
    <w:rsid w:val="00537E07"/>
    <w:rsid w:val="00540F12"/>
    <w:rsid w:val="005414DB"/>
    <w:rsid w:val="00542F05"/>
    <w:rsid w:val="00544321"/>
    <w:rsid w:val="00544961"/>
    <w:rsid w:val="00544CA1"/>
    <w:rsid w:val="00545FA6"/>
    <w:rsid w:val="00547E27"/>
    <w:rsid w:val="005500B5"/>
    <w:rsid w:val="005521ED"/>
    <w:rsid w:val="00552AD6"/>
    <w:rsid w:val="0055448E"/>
    <w:rsid w:val="005545F2"/>
    <w:rsid w:val="00554F6F"/>
    <w:rsid w:val="0055682B"/>
    <w:rsid w:val="00556C9D"/>
    <w:rsid w:val="00560D70"/>
    <w:rsid w:val="0056149D"/>
    <w:rsid w:val="00563243"/>
    <w:rsid w:val="00563419"/>
    <w:rsid w:val="005637C0"/>
    <w:rsid w:val="005710D5"/>
    <w:rsid w:val="00575170"/>
    <w:rsid w:val="0057596F"/>
    <w:rsid w:val="00576CFF"/>
    <w:rsid w:val="0057705C"/>
    <w:rsid w:val="0057730B"/>
    <w:rsid w:val="00580014"/>
    <w:rsid w:val="00580C5B"/>
    <w:rsid w:val="00581CB2"/>
    <w:rsid w:val="005824C1"/>
    <w:rsid w:val="005847F9"/>
    <w:rsid w:val="00585782"/>
    <w:rsid w:val="0058579D"/>
    <w:rsid w:val="0058595B"/>
    <w:rsid w:val="00585E63"/>
    <w:rsid w:val="00587ECB"/>
    <w:rsid w:val="00594488"/>
    <w:rsid w:val="005944AF"/>
    <w:rsid w:val="00594A06"/>
    <w:rsid w:val="00594F80"/>
    <w:rsid w:val="005953B7"/>
    <w:rsid w:val="005970EE"/>
    <w:rsid w:val="005971D4"/>
    <w:rsid w:val="00597A6A"/>
    <w:rsid w:val="005A0564"/>
    <w:rsid w:val="005A0AEF"/>
    <w:rsid w:val="005A112F"/>
    <w:rsid w:val="005A17EE"/>
    <w:rsid w:val="005A197C"/>
    <w:rsid w:val="005A225E"/>
    <w:rsid w:val="005A3103"/>
    <w:rsid w:val="005A3E1F"/>
    <w:rsid w:val="005A5B56"/>
    <w:rsid w:val="005A5D0C"/>
    <w:rsid w:val="005A6669"/>
    <w:rsid w:val="005A66EA"/>
    <w:rsid w:val="005A67D1"/>
    <w:rsid w:val="005A6DC3"/>
    <w:rsid w:val="005A7862"/>
    <w:rsid w:val="005A7FAA"/>
    <w:rsid w:val="005B0750"/>
    <w:rsid w:val="005B18DE"/>
    <w:rsid w:val="005B232B"/>
    <w:rsid w:val="005B2E68"/>
    <w:rsid w:val="005B3607"/>
    <w:rsid w:val="005B3B4B"/>
    <w:rsid w:val="005B3BC0"/>
    <w:rsid w:val="005B42CA"/>
    <w:rsid w:val="005B485F"/>
    <w:rsid w:val="005B5390"/>
    <w:rsid w:val="005B569A"/>
    <w:rsid w:val="005B5BCE"/>
    <w:rsid w:val="005B6151"/>
    <w:rsid w:val="005B6C2C"/>
    <w:rsid w:val="005B7410"/>
    <w:rsid w:val="005B78A6"/>
    <w:rsid w:val="005C1015"/>
    <w:rsid w:val="005C1909"/>
    <w:rsid w:val="005C1AA1"/>
    <w:rsid w:val="005C429C"/>
    <w:rsid w:val="005C4A8B"/>
    <w:rsid w:val="005C5A37"/>
    <w:rsid w:val="005C5C73"/>
    <w:rsid w:val="005C7897"/>
    <w:rsid w:val="005D0905"/>
    <w:rsid w:val="005D16CA"/>
    <w:rsid w:val="005D26C3"/>
    <w:rsid w:val="005D2BE2"/>
    <w:rsid w:val="005D30E8"/>
    <w:rsid w:val="005D32B4"/>
    <w:rsid w:val="005D3B28"/>
    <w:rsid w:val="005D6350"/>
    <w:rsid w:val="005D6B36"/>
    <w:rsid w:val="005D6F34"/>
    <w:rsid w:val="005D751C"/>
    <w:rsid w:val="005D7A31"/>
    <w:rsid w:val="005E048F"/>
    <w:rsid w:val="005E1DD6"/>
    <w:rsid w:val="005E2D1C"/>
    <w:rsid w:val="005E30DE"/>
    <w:rsid w:val="005E3165"/>
    <w:rsid w:val="005E391B"/>
    <w:rsid w:val="005E4333"/>
    <w:rsid w:val="005E4D0D"/>
    <w:rsid w:val="005E54B3"/>
    <w:rsid w:val="005E563C"/>
    <w:rsid w:val="005F0837"/>
    <w:rsid w:val="005F1B5E"/>
    <w:rsid w:val="005F24FF"/>
    <w:rsid w:val="005F3A29"/>
    <w:rsid w:val="005F41DA"/>
    <w:rsid w:val="005F5905"/>
    <w:rsid w:val="005F6679"/>
    <w:rsid w:val="005F7D5B"/>
    <w:rsid w:val="005F7DD1"/>
    <w:rsid w:val="00600D39"/>
    <w:rsid w:val="0060132B"/>
    <w:rsid w:val="006037E0"/>
    <w:rsid w:val="006053A6"/>
    <w:rsid w:val="006053E4"/>
    <w:rsid w:val="00605445"/>
    <w:rsid w:val="00606793"/>
    <w:rsid w:val="00606B31"/>
    <w:rsid w:val="00606F4E"/>
    <w:rsid w:val="00611C37"/>
    <w:rsid w:val="00612940"/>
    <w:rsid w:val="00615AC9"/>
    <w:rsid w:val="00616966"/>
    <w:rsid w:val="00616E9A"/>
    <w:rsid w:val="00617635"/>
    <w:rsid w:val="00620DA8"/>
    <w:rsid w:val="006235CD"/>
    <w:rsid w:val="0062414D"/>
    <w:rsid w:val="00624893"/>
    <w:rsid w:val="006252A0"/>
    <w:rsid w:val="00625924"/>
    <w:rsid w:val="00625DE3"/>
    <w:rsid w:val="00626DBB"/>
    <w:rsid w:val="006277F1"/>
    <w:rsid w:val="00627F1F"/>
    <w:rsid w:val="00631236"/>
    <w:rsid w:val="00631AFE"/>
    <w:rsid w:val="0063212D"/>
    <w:rsid w:val="00632CDF"/>
    <w:rsid w:val="00633E0D"/>
    <w:rsid w:val="006344CC"/>
    <w:rsid w:val="006354B8"/>
    <w:rsid w:val="006374B1"/>
    <w:rsid w:val="00640426"/>
    <w:rsid w:val="0064404E"/>
    <w:rsid w:val="00645B36"/>
    <w:rsid w:val="00645BD7"/>
    <w:rsid w:val="00645EC0"/>
    <w:rsid w:val="0064617C"/>
    <w:rsid w:val="00646357"/>
    <w:rsid w:val="00646661"/>
    <w:rsid w:val="00646FDA"/>
    <w:rsid w:val="0064718D"/>
    <w:rsid w:val="00650DA5"/>
    <w:rsid w:val="00652C6E"/>
    <w:rsid w:val="00663900"/>
    <w:rsid w:val="0066448E"/>
    <w:rsid w:val="00664988"/>
    <w:rsid w:val="00665E26"/>
    <w:rsid w:val="006674FF"/>
    <w:rsid w:val="0067038D"/>
    <w:rsid w:val="00670783"/>
    <w:rsid w:val="00672711"/>
    <w:rsid w:val="00672A8B"/>
    <w:rsid w:val="00674B9F"/>
    <w:rsid w:val="0067549D"/>
    <w:rsid w:val="00676622"/>
    <w:rsid w:val="00676BAA"/>
    <w:rsid w:val="006771D5"/>
    <w:rsid w:val="0067755C"/>
    <w:rsid w:val="00677B72"/>
    <w:rsid w:val="006806BF"/>
    <w:rsid w:val="006819DC"/>
    <w:rsid w:val="00681E7B"/>
    <w:rsid w:val="00682983"/>
    <w:rsid w:val="006832E1"/>
    <w:rsid w:val="006838AD"/>
    <w:rsid w:val="00683FBA"/>
    <w:rsid w:val="0068783C"/>
    <w:rsid w:val="00687D48"/>
    <w:rsid w:val="006902EF"/>
    <w:rsid w:val="006904F5"/>
    <w:rsid w:val="00692490"/>
    <w:rsid w:val="00693FC6"/>
    <w:rsid w:val="006949F0"/>
    <w:rsid w:val="006A0558"/>
    <w:rsid w:val="006A1147"/>
    <w:rsid w:val="006A117B"/>
    <w:rsid w:val="006A177E"/>
    <w:rsid w:val="006A1BEE"/>
    <w:rsid w:val="006A2674"/>
    <w:rsid w:val="006A2D9F"/>
    <w:rsid w:val="006A3129"/>
    <w:rsid w:val="006A4AE8"/>
    <w:rsid w:val="006A5200"/>
    <w:rsid w:val="006A58ED"/>
    <w:rsid w:val="006A741B"/>
    <w:rsid w:val="006B0213"/>
    <w:rsid w:val="006B235F"/>
    <w:rsid w:val="006B2574"/>
    <w:rsid w:val="006B301C"/>
    <w:rsid w:val="006B307B"/>
    <w:rsid w:val="006B5474"/>
    <w:rsid w:val="006B661E"/>
    <w:rsid w:val="006B68B6"/>
    <w:rsid w:val="006B7621"/>
    <w:rsid w:val="006C01C6"/>
    <w:rsid w:val="006C0A24"/>
    <w:rsid w:val="006C1D1C"/>
    <w:rsid w:val="006C262A"/>
    <w:rsid w:val="006C2A58"/>
    <w:rsid w:val="006C3594"/>
    <w:rsid w:val="006C5632"/>
    <w:rsid w:val="006C5BC9"/>
    <w:rsid w:val="006C60EE"/>
    <w:rsid w:val="006C6FD7"/>
    <w:rsid w:val="006D149A"/>
    <w:rsid w:val="006D1692"/>
    <w:rsid w:val="006D1F42"/>
    <w:rsid w:val="006D2DE0"/>
    <w:rsid w:val="006D580F"/>
    <w:rsid w:val="006D734A"/>
    <w:rsid w:val="006E04B9"/>
    <w:rsid w:val="006E284F"/>
    <w:rsid w:val="006E3FCF"/>
    <w:rsid w:val="006E4037"/>
    <w:rsid w:val="006E5C58"/>
    <w:rsid w:val="006E7AB3"/>
    <w:rsid w:val="006F0B1A"/>
    <w:rsid w:val="006F148E"/>
    <w:rsid w:val="006F2BED"/>
    <w:rsid w:val="006F365F"/>
    <w:rsid w:val="006F4DA5"/>
    <w:rsid w:val="006F54A2"/>
    <w:rsid w:val="006F54A3"/>
    <w:rsid w:val="006F57F2"/>
    <w:rsid w:val="006F6706"/>
    <w:rsid w:val="006F6834"/>
    <w:rsid w:val="006F68FC"/>
    <w:rsid w:val="006F6A65"/>
    <w:rsid w:val="0070037A"/>
    <w:rsid w:val="00701580"/>
    <w:rsid w:val="00702316"/>
    <w:rsid w:val="00703502"/>
    <w:rsid w:val="00703675"/>
    <w:rsid w:val="00703728"/>
    <w:rsid w:val="00705C5A"/>
    <w:rsid w:val="00705D6A"/>
    <w:rsid w:val="00705DF6"/>
    <w:rsid w:val="00705FF2"/>
    <w:rsid w:val="00710A60"/>
    <w:rsid w:val="00710B6A"/>
    <w:rsid w:val="00711F9E"/>
    <w:rsid w:val="0071281E"/>
    <w:rsid w:val="007128BB"/>
    <w:rsid w:val="00712C1B"/>
    <w:rsid w:val="00713691"/>
    <w:rsid w:val="00714DA7"/>
    <w:rsid w:val="00714E79"/>
    <w:rsid w:val="00715E83"/>
    <w:rsid w:val="00717615"/>
    <w:rsid w:val="00717B83"/>
    <w:rsid w:val="0072056C"/>
    <w:rsid w:val="00720C29"/>
    <w:rsid w:val="00721F85"/>
    <w:rsid w:val="007224B4"/>
    <w:rsid w:val="007225B0"/>
    <w:rsid w:val="007227F9"/>
    <w:rsid w:val="00722E21"/>
    <w:rsid w:val="007236CD"/>
    <w:rsid w:val="007236D0"/>
    <w:rsid w:val="00723F5A"/>
    <w:rsid w:val="007254EC"/>
    <w:rsid w:val="007258D6"/>
    <w:rsid w:val="007261B3"/>
    <w:rsid w:val="00726E5A"/>
    <w:rsid w:val="00730262"/>
    <w:rsid w:val="007309E1"/>
    <w:rsid w:val="007326D3"/>
    <w:rsid w:val="007326DE"/>
    <w:rsid w:val="00733422"/>
    <w:rsid w:val="007337AF"/>
    <w:rsid w:val="00734D0D"/>
    <w:rsid w:val="007356A7"/>
    <w:rsid w:val="007366DD"/>
    <w:rsid w:val="007372DA"/>
    <w:rsid w:val="00740A3D"/>
    <w:rsid w:val="00740BF7"/>
    <w:rsid w:val="0074257B"/>
    <w:rsid w:val="0074279A"/>
    <w:rsid w:val="00742C10"/>
    <w:rsid w:val="00742C2F"/>
    <w:rsid w:val="00742E9F"/>
    <w:rsid w:val="00744C30"/>
    <w:rsid w:val="00745E99"/>
    <w:rsid w:val="007460C9"/>
    <w:rsid w:val="007463C2"/>
    <w:rsid w:val="007479C9"/>
    <w:rsid w:val="007503C5"/>
    <w:rsid w:val="007525BA"/>
    <w:rsid w:val="00754981"/>
    <w:rsid w:val="007555D1"/>
    <w:rsid w:val="00755ACB"/>
    <w:rsid w:val="00755B36"/>
    <w:rsid w:val="00760467"/>
    <w:rsid w:val="007610B2"/>
    <w:rsid w:val="00761969"/>
    <w:rsid w:val="00762CDB"/>
    <w:rsid w:val="00766493"/>
    <w:rsid w:val="00766B6A"/>
    <w:rsid w:val="00767201"/>
    <w:rsid w:val="007674F2"/>
    <w:rsid w:val="00767CCA"/>
    <w:rsid w:val="00767FFD"/>
    <w:rsid w:val="007702BF"/>
    <w:rsid w:val="0077044A"/>
    <w:rsid w:val="00770490"/>
    <w:rsid w:val="0077093D"/>
    <w:rsid w:val="007715AF"/>
    <w:rsid w:val="00772779"/>
    <w:rsid w:val="00774621"/>
    <w:rsid w:val="00774828"/>
    <w:rsid w:val="00774FFD"/>
    <w:rsid w:val="0077518B"/>
    <w:rsid w:val="00776A28"/>
    <w:rsid w:val="00777F73"/>
    <w:rsid w:val="00780236"/>
    <w:rsid w:val="007805E8"/>
    <w:rsid w:val="00780626"/>
    <w:rsid w:val="007820AF"/>
    <w:rsid w:val="0078210B"/>
    <w:rsid w:val="007829B5"/>
    <w:rsid w:val="00783AEA"/>
    <w:rsid w:val="00784033"/>
    <w:rsid w:val="00784694"/>
    <w:rsid w:val="0078498E"/>
    <w:rsid w:val="00784C3F"/>
    <w:rsid w:val="007860F1"/>
    <w:rsid w:val="00786C4C"/>
    <w:rsid w:val="00787611"/>
    <w:rsid w:val="00790080"/>
    <w:rsid w:val="00790229"/>
    <w:rsid w:val="00790CA8"/>
    <w:rsid w:val="00790D67"/>
    <w:rsid w:val="00790E82"/>
    <w:rsid w:val="00791191"/>
    <w:rsid w:val="00792F6F"/>
    <w:rsid w:val="00795574"/>
    <w:rsid w:val="007958FD"/>
    <w:rsid w:val="0079613D"/>
    <w:rsid w:val="00796303"/>
    <w:rsid w:val="00796B5B"/>
    <w:rsid w:val="00796EBB"/>
    <w:rsid w:val="007A243A"/>
    <w:rsid w:val="007A5E0D"/>
    <w:rsid w:val="007A65B6"/>
    <w:rsid w:val="007A68BC"/>
    <w:rsid w:val="007A6D8C"/>
    <w:rsid w:val="007A77DF"/>
    <w:rsid w:val="007A7CEE"/>
    <w:rsid w:val="007B007C"/>
    <w:rsid w:val="007B00E3"/>
    <w:rsid w:val="007B1575"/>
    <w:rsid w:val="007B1C21"/>
    <w:rsid w:val="007B2D40"/>
    <w:rsid w:val="007B4BD9"/>
    <w:rsid w:val="007B57EF"/>
    <w:rsid w:val="007B6F4B"/>
    <w:rsid w:val="007C12F4"/>
    <w:rsid w:val="007C1CCD"/>
    <w:rsid w:val="007C30ED"/>
    <w:rsid w:val="007C34E5"/>
    <w:rsid w:val="007C4191"/>
    <w:rsid w:val="007C42F0"/>
    <w:rsid w:val="007C51FC"/>
    <w:rsid w:val="007C6E1D"/>
    <w:rsid w:val="007C7862"/>
    <w:rsid w:val="007D1D5C"/>
    <w:rsid w:val="007D37CF"/>
    <w:rsid w:val="007D4EB0"/>
    <w:rsid w:val="007D5777"/>
    <w:rsid w:val="007E00C7"/>
    <w:rsid w:val="007E39A2"/>
    <w:rsid w:val="007E4661"/>
    <w:rsid w:val="007E4D46"/>
    <w:rsid w:val="007E5315"/>
    <w:rsid w:val="007E63AA"/>
    <w:rsid w:val="007E7DF1"/>
    <w:rsid w:val="007F0080"/>
    <w:rsid w:val="007F1236"/>
    <w:rsid w:val="007F256D"/>
    <w:rsid w:val="007F2FD2"/>
    <w:rsid w:val="007F3F52"/>
    <w:rsid w:val="007F58A5"/>
    <w:rsid w:val="007F5D46"/>
    <w:rsid w:val="007F5DAE"/>
    <w:rsid w:val="007F5EE7"/>
    <w:rsid w:val="007F7A16"/>
    <w:rsid w:val="008003DF"/>
    <w:rsid w:val="00801613"/>
    <w:rsid w:val="00803EC4"/>
    <w:rsid w:val="008050E8"/>
    <w:rsid w:val="00805268"/>
    <w:rsid w:val="00805866"/>
    <w:rsid w:val="00805A15"/>
    <w:rsid w:val="008133D7"/>
    <w:rsid w:val="00814C4E"/>
    <w:rsid w:val="00814EE7"/>
    <w:rsid w:val="008201FD"/>
    <w:rsid w:val="008202EA"/>
    <w:rsid w:val="00825FB6"/>
    <w:rsid w:val="008307F7"/>
    <w:rsid w:val="00831AB4"/>
    <w:rsid w:val="0083541E"/>
    <w:rsid w:val="00835550"/>
    <w:rsid w:val="008365DA"/>
    <w:rsid w:val="008402DD"/>
    <w:rsid w:val="00840F61"/>
    <w:rsid w:val="0084171E"/>
    <w:rsid w:val="0084182C"/>
    <w:rsid w:val="00843069"/>
    <w:rsid w:val="00843493"/>
    <w:rsid w:val="0084369C"/>
    <w:rsid w:val="00844F16"/>
    <w:rsid w:val="00845B4E"/>
    <w:rsid w:val="008461AB"/>
    <w:rsid w:val="008478EB"/>
    <w:rsid w:val="00850A4A"/>
    <w:rsid w:val="008521E1"/>
    <w:rsid w:val="00854C2D"/>
    <w:rsid w:val="0086113E"/>
    <w:rsid w:val="00861D62"/>
    <w:rsid w:val="00861F9F"/>
    <w:rsid w:val="008624FE"/>
    <w:rsid w:val="008635B3"/>
    <w:rsid w:val="00865378"/>
    <w:rsid w:val="008657AB"/>
    <w:rsid w:val="00865F7C"/>
    <w:rsid w:val="008673F0"/>
    <w:rsid w:val="00867EFE"/>
    <w:rsid w:val="00870CB4"/>
    <w:rsid w:val="00872E21"/>
    <w:rsid w:val="00873D97"/>
    <w:rsid w:val="00873F0E"/>
    <w:rsid w:val="0087413C"/>
    <w:rsid w:val="00874250"/>
    <w:rsid w:val="0087447F"/>
    <w:rsid w:val="008760E2"/>
    <w:rsid w:val="00880EFA"/>
    <w:rsid w:val="008810A0"/>
    <w:rsid w:val="008812E6"/>
    <w:rsid w:val="00882CD8"/>
    <w:rsid w:val="008835F1"/>
    <w:rsid w:val="00883632"/>
    <w:rsid w:val="00883EAC"/>
    <w:rsid w:val="00886E4C"/>
    <w:rsid w:val="00887786"/>
    <w:rsid w:val="00887F96"/>
    <w:rsid w:val="00890AA3"/>
    <w:rsid w:val="008915A1"/>
    <w:rsid w:val="008916EB"/>
    <w:rsid w:val="008928A7"/>
    <w:rsid w:val="008928E2"/>
    <w:rsid w:val="008949CA"/>
    <w:rsid w:val="00896983"/>
    <w:rsid w:val="00897841"/>
    <w:rsid w:val="00897A05"/>
    <w:rsid w:val="008A113F"/>
    <w:rsid w:val="008A16EE"/>
    <w:rsid w:val="008A1795"/>
    <w:rsid w:val="008A1D35"/>
    <w:rsid w:val="008A217E"/>
    <w:rsid w:val="008A219E"/>
    <w:rsid w:val="008A3DC9"/>
    <w:rsid w:val="008A3E2E"/>
    <w:rsid w:val="008A64FA"/>
    <w:rsid w:val="008A761D"/>
    <w:rsid w:val="008A79D0"/>
    <w:rsid w:val="008A7F47"/>
    <w:rsid w:val="008B0631"/>
    <w:rsid w:val="008B0A2D"/>
    <w:rsid w:val="008B0C51"/>
    <w:rsid w:val="008B18E5"/>
    <w:rsid w:val="008B2FED"/>
    <w:rsid w:val="008B3FED"/>
    <w:rsid w:val="008B4B9B"/>
    <w:rsid w:val="008B576D"/>
    <w:rsid w:val="008B7D46"/>
    <w:rsid w:val="008B7F4B"/>
    <w:rsid w:val="008C0213"/>
    <w:rsid w:val="008C0DAC"/>
    <w:rsid w:val="008C130A"/>
    <w:rsid w:val="008C29AE"/>
    <w:rsid w:val="008C2F8D"/>
    <w:rsid w:val="008C3F10"/>
    <w:rsid w:val="008C40BC"/>
    <w:rsid w:val="008C460C"/>
    <w:rsid w:val="008C5660"/>
    <w:rsid w:val="008C6DE7"/>
    <w:rsid w:val="008D087A"/>
    <w:rsid w:val="008D141C"/>
    <w:rsid w:val="008D14AF"/>
    <w:rsid w:val="008D2799"/>
    <w:rsid w:val="008D3737"/>
    <w:rsid w:val="008D5067"/>
    <w:rsid w:val="008D5166"/>
    <w:rsid w:val="008D5570"/>
    <w:rsid w:val="008D5A30"/>
    <w:rsid w:val="008D63EB"/>
    <w:rsid w:val="008D6D60"/>
    <w:rsid w:val="008E14A9"/>
    <w:rsid w:val="008E4C6D"/>
    <w:rsid w:val="008E5825"/>
    <w:rsid w:val="008E5C36"/>
    <w:rsid w:val="008E5DEA"/>
    <w:rsid w:val="008E6C44"/>
    <w:rsid w:val="008E6D9F"/>
    <w:rsid w:val="008E7E37"/>
    <w:rsid w:val="008F0107"/>
    <w:rsid w:val="008F0445"/>
    <w:rsid w:val="008F0DF6"/>
    <w:rsid w:val="008F1955"/>
    <w:rsid w:val="008F2D60"/>
    <w:rsid w:val="008F35C3"/>
    <w:rsid w:val="008F38F0"/>
    <w:rsid w:val="008F4082"/>
    <w:rsid w:val="008F443A"/>
    <w:rsid w:val="008F509E"/>
    <w:rsid w:val="008F7539"/>
    <w:rsid w:val="00900F4B"/>
    <w:rsid w:val="00900FB5"/>
    <w:rsid w:val="0090212C"/>
    <w:rsid w:val="00903E3F"/>
    <w:rsid w:val="00904BF9"/>
    <w:rsid w:val="00904FC0"/>
    <w:rsid w:val="009109C4"/>
    <w:rsid w:val="009142D9"/>
    <w:rsid w:val="0091449C"/>
    <w:rsid w:val="0091693A"/>
    <w:rsid w:val="009205DC"/>
    <w:rsid w:val="00920906"/>
    <w:rsid w:val="00922BAD"/>
    <w:rsid w:val="009239B5"/>
    <w:rsid w:val="00924998"/>
    <w:rsid w:val="0092611D"/>
    <w:rsid w:val="00926F35"/>
    <w:rsid w:val="00927B04"/>
    <w:rsid w:val="00930584"/>
    <w:rsid w:val="00930884"/>
    <w:rsid w:val="00930924"/>
    <w:rsid w:val="009315FB"/>
    <w:rsid w:val="00932005"/>
    <w:rsid w:val="00932244"/>
    <w:rsid w:val="00935664"/>
    <w:rsid w:val="00935EE9"/>
    <w:rsid w:val="00935F28"/>
    <w:rsid w:val="00943071"/>
    <w:rsid w:val="009440A9"/>
    <w:rsid w:val="00944F27"/>
    <w:rsid w:val="0094662A"/>
    <w:rsid w:val="009466BA"/>
    <w:rsid w:val="00947AF7"/>
    <w:rsid w:val="00951282"/>
    <w:rsid w:val="00953084"/>
    <w:rsid w:val="00953678"/>
    <w:rsid w:val="00954057"/>
    <w:rsid w:val="00955E5E"/>
    <w:rsid w:val="009575D0"/>
    <w:rsid w:val="00960127"/>
    <w:rsid w:val="009625F8"/>
    <w:rsid w:val="00964528"/>
    <w:rsid w:val="009646D8"/>
    <w:rsid w:val="00964A4C"/>
    <w:rsid w:val="00964D57"/>
    <w:rsid w:val="00964DD3"/>
    <w:rsid w:val="00965632"/>
    <w:rsid w:val="00965D01"/>
    <w:rsid w:val="009666FC"/>
    <w:rsid w:val="009667D2"/>
    <w:rsid w:val="00970D47"/>
    <w:rsid w:val="009737EB"/>
    <w:rsid w:val="00973A4F"/>
    <w:rsid w:val="009741B0"/>
    <w:rsid w:val="00974930"/>
    <w:rsid w:val="00974B8C"/>
    <w:rsid w:val="009755AB"/>
    <w:rsid w:val="00977365"/>
    <w:rsid w:val="00977399"/>
    <w:rsid w:val="00977E13"/>
    <w:rsid w:val="00977E84"/>
    <w:rsid w:val="009803F6"/>
    <w:rsid w:val="00980468"/>
    <w:rsid w:val="00980C83"/>
    <w:rsid w:val="00982B9D"/>
    <w:rsid w:val="00983BFB"/>
    <w:rsid w:val="009840B8"/>
    <w:rsid w:val="00984767"/>
    <w:rsid w:val="009850F9"/>
    <w:rsid w:val="009853F3"/>
    <w:rsid w:val="00985D50"/>
    <w:rsid w:val="009869DB"/>
    <w:rsid w:val="009871F0"/>
    <w:rsid w:val="0098734B"/>
    <w:rsid w:val="00990D72"/>
    <w:rsid w:val="00991FC2"/>
    <w:rsid w:val="0099218E"/>
    <w:rsid w:val="0099274D"/>
    <w:rsid w:val="0099356C"/>
    <w:rsid w:val="00995FE7"/>
    <w:rsid w:val="00996E4E"/>
    <w:rsid w:val="0099749A"/>
    <w:rsid w:val="0099756B"/>
    <w:rsid w:val="009978E6"/>
    <w:rsid w:val="009A3E61"/>
    <w:rsid w:val="009A4548"/>
    <w:rsid w:val="009A6462"/>
    <w:rsid w:val="009B014B"/>
    <w:rsid w:val="009B33C6"/>
    <w:rsid w:val="009B50D3"/>
    <w:rsid w:val="009C1C77"/>
    <w:rsid w:val="009C2C58"/>
    <w:rsid w:val="009C3243"/>
    <w:rsid w:val="009C450E"/>
    <w:rsid w:val="009C48C3"/>
    <w:rsid w:val="009C569D"/>
    <w:rsid w:val="009C7BF4"/>
    <w:rsid w:val="009D1429"/>
    <w:rsid w:val="009D17F4"/>
    <w:rsid w:val="009D2945"/>
    <w:rsid w:val="009D3D17"/>
    <w:rsid w:val="009D410F"/>
    <w:rsid w:val="009D5D96"/>
    <w:rsid w:val="009D7D73"/>
    <w:rsid w:val="009E0E0F"/>
    <w:rsid w:val="009E22B8"/>
    <w:rsid w:val="009E257C"/>
    <w:rsid w:val="009E317F"/>
    <w:rsid w:val="009E5083"/>
    <w:rsid w:val="009E521A"/>
    <w:rsid w:val="009E6F8D"/>
    <w:rsid w:val="009F081F"/>
    <w:rsid w:val="009F0CA4"/>
    <w:rsid w:val="009F7FF6"/>
    <w:rsid w:val="00A007EC"/>
    <w:rsid w:val="00A0175E"/>
    <w:rsid w:val="00A02944"/>
    <w:rsid w:val="00A029EC"/>
    <w:rsid w:val="00A02BA6"/>
    <w:rsid w:val="00A032BF"/>
    <w:rsid w:val="00A03DBC"/>
    <w:rsid w:val="00A063C5"/>
    <w:rsid w:val="00A07B45"/>
    <w:rsid w:val="00A11BB2"/>
    <w:rsid w:val="00A145F5"/>
    <w:rsid w:val="00A15565"/>
    <w:rsid w:val="00A1580C"/>
    <w:rsid w:val="00A1767B"/>
    <w:rsid w:val="00A176A0"/>
    <w:rsid w:val="00A219CA"/>
    <w:rsid w:val="00A21AE4"/>
    <w:rsid w:val="00A22D4C"/>
    <w:rsid w:val="00A22F72"/>
    <w:rsid w:val="00A22F92"/>
    <w:rsid w:val="00A2417C"/>
    <w:rsid w:val="00A256A1"/>
    <w:rsid w:val="00A27976"/>
    <w:rsid w:val="00A30355"/>
    <w:rsid w:val="00A30968"/>
    <w:rsid w:val="00A318DF"/>
    <w:rsid w:val="00A3217C"/>
    <w:rsid w:val="00A324C6"/>
    <w:rsid w:val="00A326DD"/>
    <w:rsid w:val="00A3409E"/>
    <w:rsid w:val="00A34933"/>
    <w:rsid w:val="00A36C85"/>
    <w:rsid w:val="00A41A42"/>
    <w:rsid w:val="00A42680"/>
    <w:rsid w:val="00A431E4"/>
    <w:rsid w:val="00A446D4"/>
    <w:rsid w:val="00A44B21"/>
    <w:rsid w:val="00A44C93"/>
    <w:rsid w:val="00A44E8F"/>
    <w:rsid w:val="00A466AD"/>
    <w:rsid w:val="00A5019C"/>
    <w:rsid w:val="00A50CA2"/>
    <w:rsid w:val="00A55DE8"/>
    <w:rsid w:val="00A568AD"/>
    <w:rsid w:val="00A56B8C"/>
    <w:rsid w:val="00A606E0"/>
    <w:rsid w:val="00A60916"/>
    <w:rsid w:val="00A6140E"/>
    <w:rsid w:val="00A61D9F"/>
    <w:rsid w:val="00A62048"/>
    <w:rsid w:val="00A62F12"/>
    <w:rsid w:val="00A64066"/>
    <w:rsid w:val="00A646D3"/>
    <w:rsid w:val="00A657F6"/>
    <w:rsid w:val="00A65D64"/>
    <w:rsid w:val="00A67288"/>
    <w:rsid w:val="00A6785D"/>
    <w:rsid w:val="00A7058F"/>
    <w:rsid w:val="00A70A12"/>
    <w:rsid w:val="00A70DED"/>
    <w:rsid w:val="00A71597"/>
    <w:rsid w:val="00A71D28"/>
    <w:rsid w:val="00A7274B"/>
    <w:rsid w:val="00A72F0B"/>
    <w:rsid w:val="00A7332E"/>
    <w:rsid w:val="00A74307"/>
    <w:rsid w:val="00A74F0F"/>
    <w:rsid w:val="00A75D4B"/>
    <w:rsid w:val="00A762F8"/>
    <w:rsid w:val="00A770C2"/>
    <w:rsid w:val="00A77819"/>
    <w:rsid w:val="00A8114A"/>
    <w:rsid w:val="00A81346"/>
    <w:rsid w:val="00A81901"/>
    <w:rsid w:val="00A82724"/>
    <w:rsid w:val="00A84589"/>
    <w:rsid w:val="00A84937"/>
    <w:rsid w:val="00A8560F"/>
    <w:rsid w:val="00A85990"/>
    <w:rsid w:val="00A859C6"/>
    <w:rsid w:val="00A864ED"/>
    <w:rsid w:val="00A877B9"/>
    <w:rsid w:val="00A87838"/>
    <w:rsid w:val="00A9098A"/>
    <w:rsid w:val="00A90F31"/>
    <w:rsid w:val="00A91351"/>
    <w:rsid w:val="00A930C3"/>
    <w:rsid w:val="00A930DF"/>
    <w:rsid w:val="00A93823"/>
    <w:rsid w:val="00A93E80"/>
    <w:rsid w:val="00A94832"/>
    <w:rsid w:val="00A94E2C"/>
    <w:rsid w:val="00A95E11"/>
    <w:rsid w:val="00A960E1"/>
    <w:rsid w:val="00A961E7"/>
    <w:rsid w:val="00A97100"/>
    <w:rsid w:val="00AA03C4"/>
    <w:rsid w:val="00AA1A3E"/>
    <w:rsid w:val="00AA21A5"/>
    <w:rsid w:val="00AA4AEE"/>
    <w:rsid w:val="00AA5240"/>
    <w:rsid w:val="00AA6F4A"/>
    <w:rsid w:val="00AB2B0E"/>
    <w:rsid w:val="00AB43E5"/>
    <w:rsid w:val="00AB4819"/>
    <w:rsid w:val="00AB6919"/>
    <w:rsid w:val="00AC140B"/>
    <w:rsid w:val="00AC2A77"/>
    <w:rsid w:val="00AC3C53"/>
    <w:rsid w:val="00AC3FAA"/>
    <w:rsid w:val="00AC4879"/>
    <w:rsid w:val="00AC516C"/>
    <w:rsid w:val="00AC5603"/>
    <w:rsid w:val="00AC5CA7"/>
    <w:rsid w:val="00AC6AED"/>
    <w:rsid w:val="00AC79FD"/>
    <w:rsid w:val="00AD0A3E"/>
    <w:rsid w:val="00AD0C97"/>
    <w:rsid w:val="00AD10D7"/>
    <w:rsid w:val="00AD245E"/>
    <w:rsid w:val="00AD444A"/>
    <w:rsid w:val="00AD45A8"/>
    <w:rsid w:val="00AD5602"/>
    <w:rsid w:val="00AD71BD"/>
    <w:rsid w:val="00AE0DD7"/>
    <w:rsid w:val="00AE1C62"/>
    <w:rsid w:val="00AE30A3"/>
    <w:rsid w:val="00AE38C9"/>
    <w:rsid w:val="00AE4571"/>
    <w:rsid w:val="00AE5411"/>
    <w:rsid w:val="00AE5565"/>
    <w:rsid w:val="00AE58C5"/>
    <w:rsid w:val="00AE5CF0"/>
    <w:rsid w:val="00AE60DB"/>
    <w:rsid w:val="00AE6DE8"/>
    <w:rsid w:val="00AE7263"/>
    <w:rsid w:val="00AE7E2F"/>
    <w:rsid w:val="00AF1CD8"/>
    <w:rsid w:val="00AF26B2"/>
    <w:rsid w:val="00AF2F87"/>
    <w:rsid w:val="00AF40F0"/>
    <w:rsid w:val="00AF465B"/>
    <w:rsid w:val="00AF4C2F"/>
    <w:rsid w:val="00B03EE7"/>
    <w:rsid w:val="00B03F71"/>
    <w:rsid w:val="00B04BE3"/>
    <w:rsid w:val="00B05434"/>
    <w:rsid w:val="00B05750"/>
    <w:rsid w:val="00B0637A"/>
    <w:rsid w:val="00B06A4E"/>
    <w:rsid w:val="00B1069B"/>
    <w:rsid w:val="00B10B5F"/>
    <w:rsid w:val="00B14511"/>
    <w:rsid w:val="00B14FBC"/>
    <w:rsid w:val="00B15FF6"/>
    <w:rsid w:val="00B17ED2"/>
    <w:rsid w:val="00B2047A"/>
    <w:rsid w:val="00B2156F"/>
    <w:rsid w:val="00B215BA"/>
    <w:rsid w:val="00B23522"/>
    <w:rsid w:val="00B243B6"/>
    <w:rsid w:val="00B25AF9"/>
    <w:rsid w:val="00B25B4A"/>
    <w:rsid w:val="00B27164"/>
    <w:rsid w:val="00B308A4"/>
    <w:rsid w:val="00B32895"/>
    <w:rsid w:val="00B33B31"/>
    <w:rsid w:val="00B34191"/>
    <w:rsid w:val="00B346AB"/>
    <w:rsid w:val="00B34E4C"/>
    <w:rsid w:val="00B34FC1"/>
    <w:rsid w:val="00B3531F"/>
    <w:rsid w:val="00B35DB2"/>
    <w:rsid w:val="00B374AC"/>
    <w:rsid w:val="00B37669"/>
    <w:rsid w:val="00B37B47"/>
    <w:rsid w:val="00B4115F"/>
    <w:rsid w:val="00B41B5D"/>
    <w:rsid w:val="00B42EC0"/>
    <w:rsid w:val="00B4449A"/>
    <w:rsid w:val="00B4547D"/>
    <w:rsid w:val="00B46502"/>
    <w:rsid w:val="00B46DE5"/>
    <w:rsid w:val="00B51DE5"/>
    <w:rsid w:val="00B527FD"/>
    <w:rsid w:val="00B52EE7"/>
    <w:rsid w:val="00B54666"/>
    <w:rsid w:val="00B54C16"/>
    <w:rsid w:val="00B54D20"/>
    <w:rsid w:val="00B54FED"/>
    <w:rsid w:val="00B55B11"/>
    <w:rsid w:val="00B56BBE"/>
    <w:rsid w:val="00B579B4"/>
    <w:rsid w:val="00B601F2"/>
    <w:rsid w:val="00B60E5A"/>
    <w:rsid w:val="00B612F3"/>
    <w:rsid w:val="00B62000"/>
    <w:rsid w:val="00B62F14"/>
    <w:rsid w:val="00B636FF"/>
    <w:rsid w:val="00B6438E"/>
    <w:rsid w:val="00B6546D"/>
    <w:rsid w:val="00B670E0"/>
    <w:rsid w:val="00B675D2"/>
    <w:rsid w:val="00B67AC3"/>
    <w:rsid w:val="00B706A9"/>
    <w:rsid w:val="00B709A5"/>
    <w:rsid w:val="00B70B50"/>
    <w:rsid w:val="00B70C2C"/>
    <w:rsid w:val="00B72071"/>
    <w:rsid w:val="00B72D7E"/>
    <w:rsid w:val="00B73963"/>
    <w:rsid w:val="00B80F98"/>
    <w:rsid w:val="00B82C53"/>
    <w:rsid w:val="00B839AF"/>
    <w:rsid w:val="00B83B1F"/>
    <w:rsid w:val="00B847D7"/>
    <w:rsid w:val="00B85981"/>
    <w:rsid w:val="00B86923"/>
    <w:rsid w:val="00B8772D"/>
    <w:rsid w:val="00B911D9"/>
    <w:rsid w:val="00B9150F"/>
    <w:rsid w:val="00B934B7"/>
    <w:rsid w:val="00B93B1C"/>
    <w:rsid w:val="00B944B5"/>
    <w:rsid w:val="00B969F8"/>
    <w:rsid w:val="00BA12E7"/>
    <w:rsid w:val="00BA1590"/>
    <w:rsid w:val="00BA19BA"/>
    <w:rsid w:val="00BA1E73"/>
    <w:rsid w:val="00BA27C1"/>
    <w:rsid w:val="00BA298B"/>
    <w:rsid w:val="00BA5A85"/>
    <w:rsid w:val="00BA6A1F"/>
    <w:rsid w:val="00BA70A1"/>
    <w:rsid w:val="00BA7171"/>
    <w:rsid w:val="00BA76EA"/>
    <w:rsid w:val="00BB020B"/>
    <w:rsid w:val="00BB0A3C"/>
    <w:rsid w:val="00BB0EEF"/>
    <w:rsid w:val="00BB1329"/>
    <w:rsid w:val="00BB1397"/>
    <w:rsid w:val="00BB1E49"/>
    <w:rsid w:val="00BB2065"/>
    <w:rsid w:val="00BB2EF4"/>
    <w:rsid w:val="00BB3972"/>
    <w:rsid w:val="00BB42E3"/>
    <w:rsid w:val="00BB43D7"/>
    <w:rsid w:val="00BB546B"/>
    <w:rsid w:val="00BB65DD"/>
    <w:rsid w:val="00BB71F5"/>
    <w:rsid w:val="00BB7B2E"/>
    <w:rsid w:val="00BC0C9A"/>
    <w:rsid w:val="00BC0DBB"/>
    <w:rsid w:val="00BC1A0A"/>
    <w:rsid w:val="00BC1C44"/>
    <w:rsid w:val="00BC1E90"/>
    <w:rsid w:val="00BC1FB0"/>
    <w:rsid w:val="00BC2D32"/>
    <w:rsid w:val="00BC535C"/>
    <w:rsid w:val="00BC6038"/>
    <w:rsid w:val="00BC7A52"/>
    <w:rsid w:val="00BC7C33"/>
    <w:rsid w:val="00BD2420"/>
    <w:rsid w:val="00BD581C"/>
    <w:rsid w:val="00BD7F5F"/>
    <w:rsid w:val="00BE01D0"/>
    <w:rsid w:val="00BE01DE"/>
    <w:rsid w:val="00BE15EE"/>
    <w:rsid w:val="00BE1712"/>
    <w:rsid w:val="00BE407A"/>
    <w:rsid w:val="00BE439F"/>
    <w:rsid w:val="00BE4C4C"/>
    <w:rsid w:val="00BE53CC"/>
    <w:rsid w:val="00BE56B8"/>
    <w:rsid w:val="00BE61F7"/>
    <w:rsid w:val="00BE73D3"/>
    <w:rsid w:val="00BE75F6"/>
    <w:rsid w:val="00BF0189"/>
    <w:rsid w:val="00BF12A0"/>
    <w:rsid w:val="00BF334B"/>
    <w:rsid w:val="00BF378E"/>
    <w:rsid w:val="00BF446E"/>
    <w:rsid w:val="00BF5120"/>
    <w:rsid w:val="00BF5772"/>
    <w:rsid w:val="00C0050A"/>
    <w:rsid w:val="00C00862"/>
    <w:rsid w:val="00C00E91"/>
    <w:rsid w:val="00C00EE2"/>
    <w:rsid w:val="00C04121"/>
    <w:rsid w:val="00C05173"/>
    <w:rsid w:val="00C06896"/>
    <w:rsid w:val="00C06945"/>
    <w:rsid w:val="00C06ECA"/>
    <w:rsid w:val="00C07399"/>
    <w:rsid w:val="00C11C69"/>
    <w:rsid w:val="00C12A32"/>
    <w:rsid w:val="00C13830"/>
    <w:rsid w:val="00C14EA9"/>
    <w:rsid w:val="00C15009"/>
    <w:rsid w:val="00C16E83"/>
    <w:rsid w:val="00C17495"/>
    <w:rsid w:val="00C17554"/>
    <w:rsid w:val="00C17CE8"/>
    <w:rsid w:val="00C2141D"/>
    <w:rsid w:val="00C21E0E"/>
    <w:rsid w:val="00C22600"/>
    <w:rsid w:val="00C22ECC"/>
    <w:rsid w:val="00C23D1A"/>
    <w:rsid w:val="00C24B94"/>
    <w:rsid w:val="00C25557"/>
    <w:rsid w:val="00C25921"/>
    <w:rsid w:val="00C265E7"/>
    <w:rsid w:val="00C26892"/>
    <w:rsid w:val="00C277CB"/>
    <w:rsid w:val="00C3092C"/>
    <w:rsid w:val="00C31B03"/>
    <w:rsid w:val="00C33985"/>
    <w:rsid w:val="00C3701F"/>
    <w:rsid w:val="00C374D9"/>
    <w:rsid w:val="00C379C8"/>
    <w:rsid w:val="00C40B32"/>
    <w:rsid w:val="00C415EC"/>
    <w:rsid w:val="00C430D5"/>
    <w:rsid w:val="00C435DB"/>
    <w:rsid w:val="00C4617A"/>
    <w:rsid w:val="00C462B3"/>
    <w:rsid w:val="00C46DBE"/>
    <w:rsid w:val="00C4764D"/>
    <w:rsid w:val="00C519FD"/>
    <w:rsid w:val="00C51E26"/>
    <w:rsid w:val="00C53BFE"/>
    <w:rsid w:val="00C5495E"/>
    <w:rsid w:val="00C54A23"/>
    <w:rsid w:val="00C54D96"/>
    <w:rsid w:val="00C55802"/>
    <w:rsid w:val="00C57754"/>
    <w:rsid w:val="00C57758"/>
    <w:rsid w:val="00C57E57"/>
    <w:rsid w:val="00C57FC6"/>
    <w:rsid w:val="00C602B8"/>
    <w:rsid w:val="00C60A85"/>
    <w:rsid w:val="00C61A74"/>
    <w:rsid w:val="00C62772"/>
    <w:rsid w:val="00C655D8"/>
    <w:rsid w:val="00C66FA4"/>
    <w:rsid w:val="00C739EA"/>
    <w:rsid w:val="00C74377"/>
    <w:rsid w:val="00C749E3"/>
    <w:rsid w:val="00C75076"/>
    <w:rsid w:val="00C755FF"/>
    <w:rsid w:val="00C77164"/>
    <w:rsid w:val="00C773F2"/>
    <w:rsid w:val="00C77DB3"/>
    <w:rsid w:val="00C80D57"/>
    <w:rsid w:val="00C8217D"/>
    <w:rsid w:val="00C838A5"/>
    <w:rsid w:val="00C83CEF"/>
    <w:rsid w:val="00C86447"/>
    <w:rsid w:val="00C90598"/>
    <w:rsid w:val="00C91FF0"/>
    <w:rsid w:val="00C921BC"/>
    <w:rsid w:val="00C938BC"/>
    <w:rsid w:val="00C93FC4"/>
    <w:rsid w:val="00C94C8C"/>
    <w:rsid w:val="00C9561B"/>
    <w:rsid w:val="00C95DE2"/>
    <w:rsid w:val="00C96477"/>
    <w:rsid w:val="00C96971"/>
    <w:rsid w:val="00C96D74"/>
    <w:rsid w:val="00C973E8"/>
    <w:rsid w:val="00C977D4"/>
    <w:rsid w:val="00C97C72"/>
    <w:rsid w:val="00CA00F2"/>
    <w:rsid w:val="00CA0282"/>
    <w:rsid w:val="00CA13C9"/>
    <w:rsid w:val="00CA1B2D"/>
    <w:rsid w:val="00CA1C4A"/>
    <w:rsid w:val="00CA240D"/>
    <w:rsid w:val="00CA2779"/>
    <w:rsid w:val="00CA337D"/>
    <w:rsid w:val="00CA3A23"/>
    <w:rsid w:val="00CA3A4A"/>
    <w:rsid w:val="00CA3B10"/>
    <w:rsid w:val="00CA5A0C"/>
    <w:rsid w:val="00CA5A33"/>
    <w:rsid w:val="00CA6180"/>
    <w:rsid w:val="00CA66D4"/>
    <w:rsid w:val="00CA6C20"/>
    <w:rsid w:val="00CA7834"/>
    <w:rsid w:val="00CA79DC"/>
    <w:rsid w:val="00CA7F4A"/>
    <w:rsid w:val="00CB1C22"/>
    <w:rsid w:val="00CB1E4D"/>
    <w:rsid w:val="00CB5A97"/>
    <w:rsid w:val="00CB5B08"/>
    <w:rsid w:val="00CB5B4D"/>
    <w:rsid w:val="00CB7320"/>
    <w:rsid w:val="00CB7CFF"/>
    <w:rsid w:val="00CC0803"/>
    <w:rsid w:val="00CC1801"/>
    <w:rsid w:val="00CC4630"/>
    <w:rsid w:val="00CC5E08"/>
    <w:rsid w:val="00CC6006"/>
    <w:rsid w:val="00CC6E4A"/>
    <w:rsid w:val="00CC7B7E"/>
    <w:rsid w:val="00CD00D3"/>
    <w:rsid w:val="00CD00D8"/>
    <w:rsid w:val="00CD09D5"/>
    <w:rsid w:val="00CD21D3"/>
    <w:rsid w:val="00CD2FF1"/>
    <w:rsid w:val="00CD3766"/>
    <w:rsid w:val="00CD3C44"/>
    <w:rsid w:val="00CD5CB6"/>
    <w:rsid w:val="00CD6AF1"/>
    <w:rsid w:val="00CD6B1C"/>
    <w:rsid w:val="00CD6B48"/>
    <w:rsid w:val="00CE0DDC"/>
    <w:rsid w:val="00CE1365"/>
    <w:rsid w:val="00CE2ECA"/>
    <w:rsid w:val="00CE504B"/>
    <w:rsid w:val="00CE5463"/>
    <w:rsid w:val="00CE57C8"/>
    <w:rsid w:val="00CF04C1"/>
    <w:rsid w:val="00CF1D5B"/>
    <w:rsid w:val="00CF1E15"/>
    <w:rsid w:val="00CF2026"/>
    <w:rsid w:val="00CF252D"/>
    <w:rsid w:val="00CF27CB"/>
    <w:rsid w:val="00CF2E9C"/>
    <w:rsid w:val="00CF32C1"/>
    <w:rsid w:val="00CF393D"/>
    <w:rsid w:val="00CF3EDB"/>
    <w:rsid w:val="00CF4467"/>
    <w:rsid w:val="00CF68C6"/>
    <w:rsid w:val="00CF774D"/>
    <w:rsid w:val="00D0011F"/>
    <w:rsid w:val="00D003A7"/>
    <w:rsid w:val="00D0067D"/>
    <w:rsid w:val="00D008E2"/>
    <w:rsid w:val="00D0094F"/>
    <w:rsid w:val="00D01486"/>
    <w:rsid w:val="00D01BBA"/>
    <w:rsid w:val="00D02614"/>
    <w:rsid w:val="00D02F56"/>
    <w:rsid w:val="00D05262"/>
    <w:rsid w:val="00D0559C"/>
    <w:rsid w:val="00D075A5"/>
    <w:rsid w:val="00D13AB3"/>
    <w:rsid w:val="00D14920"/>
    <w:rsid w:val="00D15122"/>
    <w:rsid w:val="00D15BFB"/>
    <w:rsid w:val="00D1628E"/>
    <w:rsid w:val="00D20AA7"/>
    <w:rsid w:val="00D21D31"/>
    <w:rsid w:val="00D21F75"/>
    <w:rsid w:val="00D22E37"/>
    <w:rsid w:val="00D2330D"/>
    <w:rsid w:val="00D241DF"/>
    <w:rsid w:val="00D24A48"/>
    <w:rsid w:val="00D24CD6"/>
    <w:rsid w:val="00D24E92"/>
    <w:rsid w:val="00D25DB2"/>
    <w:rsid w:val="00D26BFA"/>
    <w:rsid w:val="00D27080"/>
    <w:rsid w:val="00D3003C"/>
    <w:rsid w:val="00D304A3"/>
    <w:rsid w:val="00D31178"/>
    <w:rsid w:val="00D31954"/>
    <w:rsid w:val="00D3199B"/>
    <w:rsid w:val="00D335E0"/>
    <w:rsid w:val="00D3429E"/>
    <w:rsid w:val="00D35513"/>
    <w:rsid w:val="00D36651"/>
    <w:rsid w:val="00D36899"/>
    <w:rsid w:val="00D37349"/>
    <w:rsid w:val="00D40215"/>
    <w:rsid w:val="00D409C2"/>
    <w:rsid w:val="00D410F2"/>
    <w:rsid w:val="00D41EB3"/>
    <w:rsid w:val="00D43409"/>
    <w:rsid w:val="00D44BA3"/>
    <w:rsid w:val="00D45177"/>
    <w:rsid w:val="00D46AAA"/>
    <w:rsid w:val="00D46B76"/>
    <w:rsid w:val="00D4713D"/>
    <w:rsid w:val="00D479F5"/>
    <w:rsid w:val="00D47ADF"/>
    <w:rsid w:val="00D500A8"/>
    <w:rsid w:val="00D50A50"/>
    <w:rsid w:val="00D5124F"/>
    <w:rsid w:val="00D51BB1"/>
    <w:rsid w:val="00D5243A"/>
    <w:rsid w:val="00D52C82"/>
    <w:rsid w:val="00D52CF5"/>
    <w:rsid w:val="00D54860"/>
    <w:rsid w:val="00D54F3A"/>
    <w:rsid w:val="00D54FFB"/>
    <w:rsid w:val="00D5541D"/>
    <w:rsid w:val="00D55975"/>
    <w:rsid w:val="00D559F7"/>
    <w:rsid w:val="00D56FCA"/>
    <w:rsid w:val="00D57303"/>
    <w:rsid w:val="00D573A9"/>
    <w:rsid w:val="00D57704"/>
    <w:rsid w:val="00D60885"/>
    <w:rsid w:val="00D60A74"/>
    <w:rsid w:val="00D610D0"/>
    <w:rsid w:val="00D61B26"/>
    <w:rsid w:val="00D62127"/>
    <w:rsid w:val="00D633D1"/>
    <w:rsid w:val="00D661A8"/>
    <w:rsid w:val="00D70ABC"/>
    <w:rsid w:val="00D72910"/>
    <w:rsid w:val="00D72B73"/>
    <w:rsid w:val="00D744D5"/>
    <w:rsid w:val="00D76DF4"/>
    <w:rsid w:val="00D77832"/>
    <w:rsid w:val="00D80A75"/>
    <w:rsid w:val="00D82DA0"/>
    <w:rsid w:val="00D848B0"/>
    <w:rsid w:val="00D8572B"/>
    <w:rsid w:val="00D85961"/>
    <w:rsid w:val="00D85E83"/>
    <w:rsid w:val="00D86607"/>
    <w:rsid w:val="00D8733B"/>
    <w:rsid w:val="00D906E2"/>
    <w:rsid w:val="00D90D12"/>
    <w:rsid w:val="00D90EBB"/>
    <w:rsid w:val="00D928AC"/>
    <w:rsid w:val="00D9306F"/>
    <w:rsid w:val="00D93202"/>
    <w:rsid w:val="00D93467"/>
    <w:rsid w:val="00D968FE"/>
    <w:rsid w:val="00DA00B7"/>
    <w:rsid w:val="00DA0174"/>
    <w:rsid w:val="00DA0284"/>
    <w:rsid w:val="00DA155F"/>
    <w:rsid w:val="00DA3E2F"/>
    <w:rsid w:val="00DA43D5"/>
    <w:rsid w:val="00DA449E"/>
    <w:rsid w:val="00DA4ABF"/>
    <w:rsid w:val="00DA69FB"/>
    <w:rsid w:val="00DA6D2D"/>
    <w:rsid w:val="00DA7EFA"/>
    <w:rsid w:val="00DB314F"/>
    <w:rsid w:val="00DB3D04"/>
    <w:rsid w:val="00DB3D3C"/>
    <w:rsid w:val="00DB45F3"/>
    <w:rsid w:val="00DB4ED0"/>
    <w:rsid w:val="00DB6040"/>
    <w:rsid w:val="00DC033A"/>
    <w:rsid w:val="00DC055F"/>
    <w:rsid w:val="00DC17FA"/>
    <w:rsid w:val="00DC1B54"/>
    <w:rsid w:val="00DC3707"/>
    <w:rsid w:val="00DC3FCB"/>
    <w:rsid w:val="00DC4BA0"/>
    <w:rsid w:val="00DC53AD"/>
    <w:rsid w:val="00DC6530"/>
    <w:rsid w:val="00DC74D2"/>
    <w:rsid w:val="00DD095F"/>
    <w:rsid w:val="00DD0ACF"/>
    <w:rsid w:val="00DD0DF1"/>
    <w:rsid w:val="00DD2777"/>
    <w:rsid w:val="00DD2E63"/>
    <w:rsid w:val="00DD3C2B"/>
    <w:rsid w:val="00DD451C"/>
    <w:rsid w:val="00DD55E4"/>
    <w:rsid w:val="00DD7842"/>
    <w:rsid w:val="00DD7853"/>
    <w:rsid w:val="00DE2C0F"/>
    <w:rsid w:val="00DE45DC"/>
    <w:rsid w:val="00DE6D62"/>
    <w:rsid w:val="00DF44BE"/>
    <w:rsid w:val="00DF4920"/>
    <w:rsid w:val="00DF4B48"/>
    <w:rsid w:val="00DF4F01"/>
    <w:rsid w:val="00DF4F9A"/>
    <w:rsid w:val="00DF6FF8"/>
    <w:rsid w:val="00DF72C6"/>
    <w:rsid w:val="00DF75C2"/>
    <w:rsid w:val="00E005C6"/>
    <w:rsid w:val="00E01DFF"/>
    <w:rsid w:val="00E02382"/>
    <w:rsid w:val="00E023AF"/>
    <w:rsid w:val="00E02CD8"/>
    <w:rsid w:val="00E03082"/>
    <w:rsid w:val="00E05CF4"/>
    <w:rsid w:val="00E06A38"/>
    <w:rsid w:val="00E07C43"/>
    <w:rsid w:val="00E1124C"/>
    <w:rsid w:val="00E1258D"/>
    <w:rsid w:val="00E127EA"/>
    <w:rsid w:val="00E13347"/>
    <w:rsid w:val="00E14609"/>
    <w:rsid w:val="00E14C94"/>
    <w:rsid w:val="00E152B4"/>
    <w:rsid w:val="00E16F65"/>
    <w:rsid w:val="00E2101D"/>
    <w:rsid w:val="00E2403D"/>
    <w:rsid w:val="00E24B1D"/>
    <w:rsid w:val="00E255D3"/>
    <w:rsid w:val="00E25B2E"/>
    <w:rsid w:val="00E25D72"/>
    <w:rsid w:val="00E26E6C"/>
    <w:rsid w:val="00E27EAE"/>
    <w:rsid w:val="00E31712"/>
    <w:rsid w:val="00E32F17"/>
    <w:rsid w:val="00E33DD1"/>
    <w:rsid w:val="00E3423B"/>
    <w:rsid w:val="00E34664"/>
    <w:rsid w:val="00E34959"/>
    <w:rsid w:val="00E34AE2"/>
    <w:rsid w:val="00E353C5"/>
    <w:rsid w:val="00E35C17"/>
    <w:rsid w:val="00E36B73"/>
    <w:rsid w:val="00E3715B"/>
    <w:rsid w:val="00E37717"/>
    <w:rsid w:val="00E41621"/>
    <w:rsid w:val="00E41D1D"/>
    <w:rsid w:val="00E430DD"/>
    <w:rsid w:val="00E4430E"/>
    <w:rsid w:val="00E446AF"/>
    <w:rsid w:val="00E46840"/>
    <w:rsid w:val="00E50666"/>
    <w:rsid w:val="00E50961"/>
    <w:rsid w:val="00E51076"/>
    <w:rsid w:val="00E518D4"/>
    <w:rsid w:val="00E52F7B"/>
    <w:rsid w:val="00E5376D"/>
    <w:rsid w:val="00E5500D"/>
    <w:rsid w:val="00E55313"/>
    <w:rsid w:val="00E55336"/>
    <w:rsid w:val="00E6054B"/>
    <w:rsid w:val="00E605E2"/>
    <w:rsid w:val="00E6196C"/>
    <w:rsid w:val="00E61A2D"/>
    <w:rsid w:val="00E61D4F"/>
    <w:rsid w:val="00E62DC4"/>
    <w:rsid w:val="00E63D1F"/>
    <w:rsid w:val="00E67747"/>
    <w:rsid w:val="00E679AA"/>
    <w:rsid w:val="00E67FB4"/>
    <w:rsid w:val="00E712DD"/>
    <w:rsid w:val="00E71CE2"/>
    <w:rsid w:val="00E720A0"/>
    <w:rsid w:val="00E726EA"/>
    <w:rsid w:val="00E73116"/>
    <w:rsid w:val="00E73FB3"/>
    <w:rsid w:val="00E74DAC"/>
    <w:rsid w:val="00E75499"/>
    <w:rsid w:val="00E76057"/>
    <w:rsid w:val="00E77DCF"/>
    <w:rsid w:val="00E80308"/>
    <w:rsid w:val="00E820E9"/>
    <w:rsid w:val="00E82F28"/>
    <w:rsid w:val="00E8404F"/>
    <w:rsid w:val="00E84C52"/>
    <w:rsid w:val="00E85A25"/>
    <w:rsid w:val="00E8675E"/>
    <w:rsid w:val="00E86775"/>
    <w:rsid w:val="00E874AE"/>
    <w:rsid w:val="00E8763B"/>
    <w:rsid w:val="00E90BC9"/>
    <w:rsid w:val="00E9241A"/>
    <w:rsid w:val="00E933CF"/>
    <w:rsid w:val="00E94187"/>
    <w:rsid w:val="00E94BF3"/>
    <w:rsid w:val="00E9546A"/>
    <w:rsid w:val="00E961B4"/>
    <w:rsid w:val="00E962AB"/>
    <w:rsid w:val="00E96472"/>
    <w:rsid w:val="00E96E34"/>
    <w:rsid w:val="00EA0A98"/>
    <w:rsid w:val="00EA1E40"/>
    <w:rsid w:val="00EA2585"/>
    <w:rsid w:val="00EA2A1C"/>
    <w:rsid w:val="00EA2E8F"/>
    <w:rsid w:val="00EA378D"/>
    <w:rsid w:val="00EA3DF0"/>
    <w:rsid w:val="00EA5964"/>
    <w:rsid w:val="00EA60A6"/>
    <w:rsid w:val="00EA676E"/>
    <w:rsid w:val="00EB005C"/>
    <w:rsid w:val="00EB038B"/>
    <w:rsid w:val="00EB07CF"/>
    <w:rsid w:val="00EB0F39"/>
    <w:rsid w:val="00EB188C"/>
    <w:rsid w:val="00EB2C6B"/>
    <w:rsid w:val="00EB3B56"/>
    <w:rsid w:val="00EB45EF"/>
    <w:rsid w:val="00EB4AED"/>
    <w:rsid w:val="00EB543D"/>
    <w:rsid w:val="00EC0EAF"/>
    <w:rsid w:val="00EC0ED2"/>
    <w:rsid w:val="00EC4260"/>
    <w:rsid w:val="00EC58AC"/>
    <w:rsid w:val="00EC66CF"/>
    <w:rsid w:val="00EC6AFC"/>
    <w:rsid w:val="00EC7E0C"/>
    <w:rsid w:val="00ED0384"/>
    <w:rsid w:val="00ED2764"/>
    <w:rsid w:val="00ED2AB4"/>
    <w:rsid w:val="00ED3518"/>
    <w:rsid w:val="00ED4834"/>
    <w:rsid w:val="00ED6030"/>
    <w:rsid w:val="00ED69E8"/>
    <w:rsid w:val="00ED7159"/>
    <w:rsid w:val="00ED7F10"/>
    <w:rsid w:val="00EE05B6"/>
    <w:rsid w:val="00EE213F"/>
    <w:rsid w:val="00EE444A"/>
    <w:rsid w:val="00EF04BF"/>
    <w:rsid w:val="00EF05FA"/>
    <w:rsid w:val="00EF1263"/>
    <w:rsid w:val="00EF2A16"/>
    <w:rsid w:val="00EF4DA2"/>
    <w:rsid w:val="00EF5792"/>
    <w:rsid w:val="00EF5A4E"/>
    <w:rsid w:val="00EF6733"/>
    <w:rsid w:val="00EF7EF8"/>
    <w:rsid w:val="00F000CA"/>
    <w:rsid w:val="00F00814"/>
    <w:rsid w:val="00F018D4"/>
    <w:rsid w:val="00F01E6E"/>
    <w:rsid w:val="00F030CA"/>
    <w:rsid w:val="00F03855"/>
    <w:rsid w:val="00F03EE3"/>
    <w:rsid w:val="00F04AE2"/>
    <w:rsid w:val="00F063E9"/>
    <w:rsid w:val="00F1187C"/>
    <w:rsid w:val="00F11921"/>
    <w:rsid w:val="00F15DC6"/>
    <w:rsid w:val="00F20073"/>
    <w:rsid w:val="00F212B7"/>
    <w:rsid w:val="00F21F63"/>
    <w:rsid w:val="00F22FE0"/>
    <w:rsid w:val="00F235D3"/>
    <w:rsid w:val="00F23F93"/>
    <w:rsid w:val="00F24017"/>
    <w:rsid w:val="00F24095"/>
    <w:rsid w:val="00F24AB4"/>
    <w:rsid w:val="00F24DC4"/>
    <w:rsid w:val="00F256F9"/>
    <w:rsid w:val="00F25850"/>
    <w:rsid w:val="00F26BCA"/>
    <w:rsid w:val="00F2704B"/>
    <w:rsid w:val="00F3024C"/>
    <w:rsid w:val="00F3069A"/>
    <w:rsid w:val="00F31404"/>
    <w:rsid w:val="00F31643"/>
    <w:rsid w:val="00F317CF"/>
    <w:rsid w:val="00F31EE4"/>
    <w:rsid w:val="00F3292B"/>
    <w:rsid w:val="00F35105"/>
    <w:rsid w:val="00F37152"/>
    <w:rsid w:val="00F40629"/>
    <w:rsid w:val="00F41F5A"/>
    <w:rsid w:val="00F42027"/>
    <w:rsid w:val="00F42CFD"/>
    <w:rsid w:val="00F43F02"/>
    <w:rsid w:val="00F44409"/>
    <w:rsid w:val="00F44539"/>
    <w:rsid w:val="00F44A1A"/>
    <w:rsid w:val="00F4789F"/>
    <w:rsid w:val="00F47EE4"/>
    <w:rsid w:val="00F503CA"/>
    <w:rsid w:val="00F507F6"/>
    <w:rsid w:val="00F508C2"/>
    <w:rsid w:val="00F51723"/>
    <w:rsid w:val="00F51D64"/>
    <w:rsid w:val="00F52C4B"/>
    <w:rsid w:val="00F54635"/>
    <w:rsid w:val="00F5500C"/>
    <w:rsid w:val="00F55BA5"/>
    <w:rsid w:val="00F5605D"/>
    <w:rsid w:val="00F56551"/>
    <w:rsid w:val="00F567EB"/>
    <w:rsid w:val="00F577E4"/>
    <w:rsid w:val="00F579B1"/>
    <w:rsid w:val="00F61C54"/>
    <w:rsid w:val="00F62235"/>
    <w:rsid w:val="00F630DE"/>
    <w:rsid w:val="00F63735"/>
    <w:rsid w:val="00F66912"/>
    <w:rsid w:val="00F67539"/>
    <w:rsid w:val="00F7065C"/>
    <w:rsid w:val="00F70DA4"/>
    <w:rsid w:val="00F71B55"/>
    <w:rsid w:val="00F74298"/>
    <w:rsid w:val="00F74490"/>
    <w:rsid w:val="00F74F48"/>
    <w:rsid w:val="00F8161A"/>
    <w:rsid w:val="00F81FD4"/>
    <w:rsid w:val="00F82FB8"/>
    <w:rsid w:val="00F84E0B"/>
    <w:rsid w:val="00F866CF"/>
    <w:rsid w:val="00F87419"/>
    <w:rsid w:val="00F87B75"/>
    <w:rsid w:val="00F9034A"/>
    <w:rsid w:val="00F9069F"/>
    <w:rsid w:val="00F911D1"/>
    <w:rsid w:val="00F93202"/>
    <w:rsid w:val="00F94249"/>
    <w:rsid w:val="00F9442E"/>
    <w:rsid w:val="00F9476A"/>
    <w:rsid w:val="00F94AC9"/>
    <w:rsid w:val="00F962B4"/>
    <w:rsid w:val="00F96363"/>
    <w:rsid w:val="00FA1D45"/>
    <w:rsid w:val="00FA2746"/>
    <w:rsid w:val="00FA2B73"/>
    <w:rsid w:val="00FA2FB6"/>
    <w:rsid w:val="00FA4E82"/>
    <w:rsid w:val="00FA736C"/>
    <w:rsid w:val="00FA74E6"/>
    <w:rsid w:val="00FB1385"/>
    <w:rsid w:val="00FB2287"/>
    <w:rsid w:val="00FB2551"/>
    <w:rsid w:val="00FB29C2"/>
    <w:rsid w:val="00FB2C3E"/>
    <w:rsid w:val="00FB3CD9"/>
    <w:rsid w:val="00FB3D9C"/>
    <w:rsid w:val="00FB491B"/>
    <w:rsid w:val="00FB4E69"/>
    <w:rsid w:val="00FB5021"/>
    <w:rsid w:val="00FB5D82"/>
    <w:rsid w:val="00FB5DDF"/>
    <w:rsid w:val="00FB5EB3"/>
    <w:rsid w:val="00FB7BAA"/>
    <w:rsid w:val="00FC16D0"/>
    <w:rsid w:val="00FC2405"/>
    <w:rsid w:val="00FC2470"/>
    <w:rsid w:val="00FC258A"/>
    <w:rsid w:val="00FC4759"/>
    <w:rsid w:val="00FC4945"/>
    <w:rsid w:val="00FC5D5D"/>
    <w:rsid w:val="00FC6304"/>
    <w:rsid w:val="00FC6588"/>
    <w:rsid w:val="00FC664D"/>
    <w:rsid w:val="00FC6A86"/>
    <w:rsid w:val="00FC6B5F"/>
    <w:rsid w:val="00FC6F73"/>
    <w:rsid w:val="00FC6FAB"/>
    <w:rsid w:val="00FC7147"/>
    <w:rsid w:val="00FC74F5"/>
    <w:rsid w:val="00FD052C"/>
    <w:rsid w:val="00FD0D08"/>
    <w:rsid w:val="00FD1B9C"/>
    <w:rsid w:val="00FD374B"/>
    <w:rsid w:val="00FD476B"/>
    <w:rsid w:val="00FD504C"/>
    <w:rsid w:val="00FD55B0"/>
    <w:rsid w:val="00FE1865"/>
    <w:rsid w:val="00FE1CCA"/>
    <w:rsid w:val="00FE35CD"/>
    <w:rsid w:val="00FE69C7"/>
    <w:rsid w:val="00FE6E49"/>
    <w:rsid w:val="00FE7A44"/>
    <w:rsid w:val="00FF0411"/>
    <w:rsid w:val="00FF091F"/>
    <w:rsid w:val="00FF1C6F"/>
    <w:rsid w:val="00FF1DFC"/>
    <w:rsid w:val="00FF233A"/>
    <w:rsid w:val="00FF295F"/>
    <w:rsid w:val="00FF2AD9"/>
    <w:rsid w:val="00FF2CB6"/>
    <w:rsid w:val="00FF2F4A"/>
    <w:rsid w:val="00FF2FE5"/>
    <w:rsid w:val="00FF30BB"/>
    <w:rsid w:val="00FF47E7"/>
    <w:rsid w:val="00FF4D2D"/>
    <w:rsid w:val="00FF5527"/>
    <w:rsid w:val="00FF69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903,#6c0000,#820000,#740000,#0c0,maroon,#a50021,#900"/>
    </o:shapedefaults>
    <o:shapelayout v:ext="edit">
      <o:idmap v:ext="edit" data="1"/>
    </o:shapelayout>
  </w:shapeDefaults>
  <w:decimalSymbol w:val="."/>
  <w:listSeparator w:val=";"/>
  <w14:docId w14:val="1E7D9693"/>
  <w15:docId w15:val="{E3BE0759-1640-49E1-86FB-A4D6BCA6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iPriority="0" w:unhideWhenUsed="1"/>
    <w:lsdException w:name="Table Columns 5" w:locked="1" w:semiHidden="1" w:uiPriority="0"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iPriority="0" w:unhideWhenUsed="1"/>
    <w:lsdException w:name="Table Contemporary" w:locked="1" w:semiHidden="1" w:unhideWhenUsed="1"/>
    <w:lsdException w:name="Table Elegant" w:locked="1" w:semiHidden="1" w:uiPriority="0"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CD8"/>
    <w:rPr>
      <w:sz w:val="24"/>
      <w:szCs w:val="24"/>
      <w:lang w:val="el-GR" w:eastAsia="el-GR"/>
    </w:rPr>
  </w:style>
  <w:style w:type="paragraph" w:styleId="Heading1">
    <w:name w:val="heading 1"/>
    <w:aliases w:val="عنوان1"/>
    <w:basedOn w:val="Normal"/>
    <w:next w:val="Normal"/>
    <w:link w:val="Heading1Char"/>
    <w:qFormat/>
    <w:locked/>
    <w:rsid w:val="00FC6304"/>
    <w:pPr>
      <w:keepNext/>
      <w:spacing w:before="240" w:after="60"/>
      <w:outlineLvl w:val="0"/>
    </w:pPr>
    <w:rPr>
      <w:rFonts w:ascii="Cambria" w:hAnsi="Cambria"/>
      <w:b/>
      <w:bCs/>
      <w:kern w:val="32"/>
      <w:sz w:val="32"/>
      <w:szCs w:val="32"/>
    </w:rPr>
  </w:style>
  <w:style w:type="paragraph" w:styleId="Heading2">
    <w:name w:val="heading 2"/>
    <w:aliases w:val="عنوان2"/>
    <w:basedOn w:val="Normal"/>
    <w:next w:val="Normal"/>
    <w:link w:val="Heading2Char"/>
    <w:unhideWhenUsed/>
    <w:qFormat/>
    <w:locked/>
    <w:rsid w:val="00FC630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locked/>
    <w:rsid w:val="00FC6304"/>
    <w:pPr>
      <w:keepNext/>
      <w:spacing w:before="240" w:after="60"/>
      <w:outlineLvl w:val="2"/>
    </w:pPr>
    <w:rPr>
      <w:rFonts w:ascii="Cambria" w:hAnsi="Cambria"/>
      <w:b/>
      <w:bCs/>
      <w:sz w:val="26"/>
      <w:szCs w:val="26"/>
    </w:rPr>
  </w:style>
  <w:style w:type="paragraph" w:styleId="Heading4">
    <w:name w:val="heading 4"/>
    <w:basedOn w:val="Normal"/>
    <w:next w:val="Normal"/>
    <w:link w:val="Heading4Char"/>
    <w:autoRedefine/>
    <w:unhideWhenUsed/>
    <w:qFormat/>
    <w:locked/>
    <w:rsid w:val="00064487"/>
    <w:pPr>
      <w:keepNext/>
      <w:keepLines/>
      <w:bidi/>
      <w:spacing w:before="120" w:after="120"/>
      <w:ind w:left="994" w:hanging="994"/>
      <w:jc w:val="both"/>
      <w:outlineLvl w:val="3"/>
    </w:pPr>
    <w:rPr>
      <w:rFonts w:ascii="Simplified Arabic" w:eastAsia="Simplified Arabic" w:hAnsi="Simplified Arabic"/>
      <w:b/>
      <w:bCs/>
      <w:sz w:val="26"/>
      <w:szCs w:val="26"/>
      <w:lang w:val="en-US" w:eastAsia="en-US"/>
    </w:rPr>
  </w:style>
  <w:style w:type="paragraph" w:styleId="Heading5">
    <w:name w:val="heading 5"/>
    <w:basedOn w:val="Normal"/>
    <w:next w:val="Normal"/>
    <w:link w:val="Heading5Char"/>
    <w:unhideWhenUsed/>
    <w:qFormat/>
    <w:locked/>
    <w:rsid w:val="00FC6304"/>
    <w:p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locked/>
    <w:rsid w:val="00064487"/>
    <w:pPr>
      <w:keepNext/>
      <w:keepLines/>
      <w:bidi/>
      <w:spacing w:before="200"/>
      <w:ind w:left="1152" w:hanging="1152"/>
      <w:jc w:val="both"/>
      <w:outlineLvl w:val="5"/>
    </w:pPr>
    <w:rPr>
      <w:rFonts w:ascii="Cambria" w:hAnsi="Cambria"/>
      <w:i/>
      <w:iCs/>
      <w:color w:val="243F60"/>
      <w:lang w:val="en-US" w:eastAsia="en-US"/>
    </w:rPr>
  </w:style>
  <w:style w:type="paragraph" w:styleId="Heading7">
    <w:name w:val="heading 7"/>
    <w:basedOn w:val="Normal"/>
    <w:next w:val="Normal"/>
    <w:link w:val="Heading7Char"/>
    <w:qFormat/>
    <w:rsid w:val="0079613D"/>
    <w:pPr>
      <w:keepNext/>
      <w:outlineLvl w:val="6"/>
    </w:pPr>
    <w:rPr>
      <w:b/>
      <w:szCs w:val="20"/>
      <w:lang w:val="en-US" w:eastAsia="en-US"/>
    </w:rPr>
  </w:style>
  <w:style w:type="paragraph" w:styleId="Heading8">
    <w:name w:val="heading 8"/>
    <w:basedOn w:val="Normal"/>
    <w:next w:val="Normal"/>
    <w:link w:val="Heading8Char"/>
    <w:unhideWhenUsed/>
    <w:qFormat/>
    <w:locked/>
    <w:rsid w:val="00064487"/>
    <w:pPr>
      <w:keepNext/>
      <w:keepLines/>
      <w:bidi/>
      <w:spacing w:before="200"/>
      <w:ind w:left="1440" w:hanging="1440"/>
      <w:jc w:val="both"/>
      <w:outlineLvl w:val="7"/>
    </w:pPr>
    <w:rPr>
      <w:rFonts w:ascii="Cambria" w:hAnsi="Cambria"/>
      <w:color w:val="404040"/>
      <w:sz w:val="20"/>
      <w:szCs w:val="20"/>
      <w:lang w:val="en-US" w:eastAsia="en-US"/>
    </w:rPr>
  </w:style>
  <w:style w:type="paragraph" w:styleId="Heading9">
    <w:name w:val="heading 9"/>
    <w:basedOn w:val="Normal"/>
    <w:next w:val="Normal"/>
    <w:link w:val="Heading9Char"/>
    <w:unhideWhenUsed/>
    <w:qFormat/>
    <w:locked/>
    <w:rsid w:val="009C7BF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locked/>
    <w:rsid w:val="0079613D"/>
    <w:rPr>
      <w:b/>
      <w:sz w:val="24"/>
      <w:lang w:val="en-US" w:eastAsia="en-US"/>
    </w:rPr>
  </w:style>
  <w:style w:type="character" w:customStyle="1" w:styleId="2">
    <w:name w:val="Σώμα κειμένου (2)_"/>
    <w:link w:val="20"/>
    <w:uiPriority w:val="99"/>
    <w:locked/>
    <w:rsid w:val="00477C91"/>
    <w:rPr>
      <w:shd w:val="clear" w:color="auto" w:fill="FFFFFF"/>
    </w:rPr>
  </w:style>
  <w:style w:type="paragraph" w:customStyle="1" w:styleId="20">
    <w:name w:val="Σώμα κειμένου (2)"/>
    <w:basedOn w:val="Normal"/>
    <w:link w:val="2"/>
    <w:uiPriority w:val="99"/>
    <w:rsid w:val="00477C91"/>
    <w:pPr>
      <w:widowControl w:val="0"/>
      <w:shd w:val="clear" w:color="auto" w:fill="FFFFFF"/>
      <w:spacing w:before="60" w:after="300" w:line="240" w:lineRule="atLeast"/>
      <w:ind w:hanging="460"/>
    </w:pPr>
    <w:rPr>
      <w:sz w:val="20"/>
      <w:szCs w:val="20"/>
      <w:shd w:val="clear" w:color="auto" w:fill="FFFFFF"/>
    </w:rPr>
  </w:style>
  <w:style w:type="character" w:customStyle="1" w:styleId="4">
    <w:name w:val="Σώμα κειμένου (4)_"/>
    <w:link w:val="40"/>
    <w:uiPriority w:val="99"/>
    <w:locked/>
    <w:rsid w:val="00477C91"/>
    <w:rPr>
      <w:i/>
      <w:shd w:val="clear" w:color="auto" w:fill="FFFFFF"/>
    </w:rPr>
  </w:style>
  <w:style w:type="paragraph" w:customStyle="1" w:styleId="40">
    <w:name w:val="Σώμα κειμένου (4)"/>
    <w:basedOn w:val="Normal"/>
    <w:link w:val="4"/>
    <w:uiPriority w:val="99"/>
    <w:rsid w:val="00477C91"/>
    <w:pPr>
      <w:widowControl w:val="0"/>
      <w:shd w:val="clear" w:color="auto" w:fill="FFFFFF"/>
      <w:spacing w:before="180" w:after="420" w:line="240" w:lineRule="atLeast"/>
      <w:ind w:hanging="460"/>
      <w:jc w:val="both"/>
    </w:pPr>
    <w:rPr>
      <w:i/>
      <w:sz w:val="20"/>
      <w:szCs w:val="20"/>
      <w:shd w:val="clear" w:color="auto" w:fill="FFFFFF"/>
    </w:rPr>
  </w:style>
  <w:style w:type="character" w:customStyle="1" w:styleId="41">
    <w:name w:val="Σώμα κειμένου (4) + Χωρίς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1">
    <w:name w:val="Σώμα κειμένου (2) +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00">
    <w:name w:val="Σώμα κειμένου (2) + Διάστιχο 0 στ."/>
    <w:uiPriority w:val="99"/>
    <w:rsid w:val="00477C91"/>
    <w:rPr>
      <w:rFonts w:ascii="Times New Roman" w:hAnsi="Times New Roman"/>
      <w:b/>
      <w:color w:val="000000"/>
      <w:spacing w:val="-10"/>
      <w:w w:val="100"/>
      <w:position w:val="0"/>
      <w:sz w:val="20"/>
      <w:u w:val="none"/>
      <w:effect w:val="none"/>
      <w:lang w:val="en-US" w:eastAsia="en-US"/>
    </w:rPr>
  </w:style>
  <w:style w:type="paragraph" w:styleId="HTMLPreformatted">
    <w:name w:val="HTML Preformatted"/>
    <w:basedOn w:val="Normal"/>
    <w:link w:val="HTMLPreformattedChar"/>
    <w:uiPriority w:val="99"/>
    <w:rsid w:val="007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F962B4"/>
    <w:rPr>
      <w:rFonts w:ascii="Courier New" w:hAnsi="Courier New"/>
    </w:rPr>
  </w:style>
  <w:style w:type="paragraph" w:styleId="BalloonText">
    <w:name w:val="Balloon Text"/>
    <w:basedOn w:val="Normal"/>
    <w:link w:val="BalloonTextChar"/>
    <w:uiPriority w:val="99"/>
    <w:rsid w:val="005D32B4"/>
    <w:rPr>
      <w:rFonts w:ascii="Segoe UI" w:hAnsi="Segoe UI"/>
      <w:sz w:val="18"/>
      <w:szCs w:val="20"/>
    </w:rPr>
  </w:style>
  <w:style w:type="character" w:customStyle="1" w:styleId="BalloonTextChar">
    <w:name w:val="Balloon Text Char"/>
    <w:link w:val="BalloonText"/>
    <w:uiPriority w:val="99"/>
    <w:locked/>
    <w:rsid w:val="005D32B4"/>
    <w:rPr>
      <w:rFonts w:ascii="Segoe UI" w:hAnsi="Segoe UI"/>
      <w:sz w:val="18"/>
    </w:rPr>
  </w:style>
  <w:style w:type="character" w:styleId="PlaceholderText">
    <w:name w:val="Placeholder Text"/>
    <w:uiPriority w:val="99"/>
    <w:semiHidden/>
    <w:rsid w:val="00786C4C"/>
    <w:rPr>
      <w:color w:val="808080"/>
    </w:rPr>
  </w:style>
  <w:style w:type="paragraph" w:styleId="BodyText">
    <w:name w:val="Body Text"/>
    <w:basedOn w:val="Normal"/>
    <w:link w:val="BodyTextChar"/>
    <w:rsid w:val="00A9098A"/>
    <w:pPr>
      <w:jc w:val="both"/>
    </w:pPr>
    <w:rPr>
      <w:szCs w:val="20"/>
      <w:lang w:val="en-US" w:eastAsia="en-US"/>
    </w:rPr>
  </w:style>
  <w:style w:type="character" w:customStyle="1" w:styleId="BodyTextChar">
    <w:name w:val="Body Text Char"/>
    <w:link w:val="BodyText"/>
    <w:locked/>
    <w:rsid w:val="00A9098A"/>
    <w:rPr>
      <w:sz w:val="24"/>
      <w:lang w:val="en-US" w:eastAsia="en-US"/>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9098A"/>
    <w:pPr>
      <w:bidi/>
      <w:ind w:left="720"/>
      <w:contextualSpacing/>
    </w:pPr>
    <w:rPr>
      <w:noProof/>
      <w:szCs w:val="20"/>
      <w:lang w:val="en-US"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A9098A"/>
    <w:rPr>
      <w:noProof/>
      <w:sz w:val="24"/>
      <w:lang w:val="en-US" w:eastAsia="ar-SA"/>
    </w:rPr>
  </w:style>
  <w:style w:type="paragraph" w:styleId="BodyTextIndent2">
    <w:name w:val="Body Text Indent 2"/>
    <w:basedOn w:val="Normal"/>
    <w:link w:val="BodyTextIndent2Char"/>
    <w:rsid w:val="00A9098A"/>
    <w:pPr>
      <w:spacing w:after="120" w:line="480" w:lineRule="auto"/>
      <w:ind w:left="283"/>
    </w:pPr>
    <w:rPr>
      <w:szCs w:val="20"/>
      <w:lang w:val="en-US" w:eastAsia="en-US"/>
    </w:rPr>
  </w:style>
  <w:style w:type="character" w:customStyle="1" w:styleId="BodyTextIndent2Char">
    <w:name w:val="Body Text Indent 2 Char"/>
    <w:link w:val="BodyTextIndent2"/>
    <w:locked/>
    <w:rsid w:val="00A9098A"/>
    <w:rPr>
      <w:sz w:val="24"/>
      <w:lang w:val="en-US" w:eastAsia="en-US"/>
    </w:rPr>
  </w:style>
  <w:style w:type="paragraph" w:styleId="ListContinue">
    <w:name w:val="List Continue"/>
    <w:basedOn w:val="Normal"/>
    <w:uiPriority w:val="99"/>
    <w:rsid w:val="00A9098A"/>
    <w:pPr>
      <w:bidi/>
      <w:spacing w:after="120"/>
      <w:ind w:left="283"/>
    </w:pPr>
    <w:rPr>
      <w:rFonts w:cs="Traditional Arabic"/>
      <w:sz w:val="20"/>
      <w:szCs w:val="20"/>
      <w:lang w:val="en-US" w:eastAsia="ar-SA"/>
    </w:rPr>
  </w:style>
  <w:style w:type="paragraph" w:styleId="FootnoteText">
    <w:name w:val="footnote text"/>
    <w:basedOn w:val="Normal"/>
    <w:link w:val="FootnoteTextChar"/>
    <w:rsid w:val="008B0C51"/>
    <w:rPr>
      <w:sz w:val="20"/>
      <w:szCs w:val="20"/>
    </w:rPr>
  </w:style>
  <w:style w:type="character" w:customStyle="1" w:styleId="FootnoteTextChar">
    <w:name w:val="Footnote Text Char"/>
    <w:basedOn w:val="DefaultParagraphFont"/>
    <w:link w:val="FootnoteText"/>
    <w:locked/>
    <w:rsid w:val="008B0C51"/>
  </w:style>
  <w:style w:type="character" w:styleId="FootnoteReference">
    <w:name w:val="footnote reference"/>
    <w:aliases w:val="(Footnote Reference)"/>
    <w:rsid w:val="008B0C51"/>
    <w:rPr>
      <w:rFonts w:cs="Times New Roman"/>
      <w:vertAlign w:val="superscript"/>
    </w:rPr>
  </w:style>
  <w:style w:type="character" w:styleId="Hyperlink">
    <w:name w:val="Hyperlink"/>
    <w:uiPriority w:val="99"/>
    <w:rsid w:val="00ED2AB4"/>
    <w:rPr>
      <w:rFonts w:cs="Times New Roman"/>
      <w:color w:val="0563C1"/>
      <w:u w:val="single"/>
    </w:rPr>
  </w:style>
  <w:style w:type="paragraph" w:styleId="Header">
    <w:name w:val="header"/>
    <w:basedOn w:val="Normal"/>
    <w:link w:val="HeaderChar"/>
    <w:uiPriority w:val="99"/>
    <w:rsid w:val="00B55B11"/>
    <w:pPr>
      <w:tabs>
        <w:tab w:val="center" w:pos="4680"/>
        <w:tab w:val="right" w:pos="9360"/>
      </w:tabs>
    </w:pPr>
    <w:rPr>
      <w:szCs w:val="20"/>
    </w:rPr>
  </w:style>
  <w:style w:type="character" w:customStyle="1" w:styleId="HeaderChar">
    <w:name w:val="Header Char"/>
    <w:link w:val="Header"/>
    <w:uiPriority w:val="99"/>
    <w:locked/>
    <w:rsid w:val="00B55B11"/>
    <w:rPr>
      <w:sz w:val="24"/>
    </w:rPr>
  </w:style>
  <w:style w:type="paragraph" w:styleId="Footer">
    <w:name w:val="footer"/>
    <w:basedOn w:val="Normal"/>
    <w:link w:val="FooterChar"/>
    <w:uiPriority w:val="99"/>
    <w:rsid w:val="00B55B11"/>
    <w:pPr>
      <w:tabs>
        <w:tab w:val="center" w:pos="4680"/>
        <w:tab w:val="right" w:pos="9360"/>
      </w:tabs>
    </w:pPr>
    <w:rPr>
      <w:szCs w:val="20"/>
    </w:rPr>
  </w:style>
  <w:style w:type="character" w:customStyle="1" w:styleId="FooterChar">
    <w:name w:val="Footer Char"/>
    <w:link w:val="Footer"/>
    <w:uiPriority w:val="99"/>
    <w:locked/>
    <w:rsid w:val="00B55B11"/>
    <w:rPr>
      <w:sz w:val="24"/>
    </w:rPr>
  </w:style>
  <w:style w:type="paragraph" w:customStyle="1" w:styleId="210">
    <w:name w:val="Σώμα κειμένου (2)1"/>
    <w:basedOn w:val="Normal"/>
    <w:uiPriority w:val="99"/>
    <w:rsid w:val="00F962B4"/>
    <w:pPr>
      <w:widowControl w:val="0"/>
      <w:shd w:val="clear" w:color="auto" w:fill="FFFFFF"/>
      <w:spacing w:after="240" w:line="278" w:lineRule="exact"/>
      <w:jc w:val="both"/>
    </w:pPr>
    <w:rPr>
      <w:rFonts w:ascii="Arial" w:hAnsi="Arial"/>
      <w:noProof/>
      <w:sz w:val="19"/>
      <w:szCs w:val="20"/>
      <w:shd w:val="clear" w:color="auto" w:fill="FFFFFF"/>
    </w:rPr>
  </w:style>
  <w:style w:type="character" w:styleId="PageNumber">
    <w:name w:val="page number"/>
    <w:rsid w:val="00F962B4"/>
    <w:rPr>
      <w:rFonts w:cs="Times New Roman"/>
    </w:rPr>
  </w:style>
  <w:style w:type="character" w:styleId="CommentReference">
    <w:name w:val="annotation reference"/>
    <w:uiPriority w:val="99"/>
    <w:rsid w:val="00F962B4"/>
    <w:rPr>
      <w:rFonts w:cs="Times New Roman"/>
      <w:sz w:val="16"/>
    </w:rPr>
  </w:style>
  <w:style w:type="paragraph" w:styleId="CommentText">
    <w:name w:val="annotation text"/>
    <w:basedOn w:val="Normal"/>
    <w:link w:val="CommentTextChar"/>
    <w:uiPriority w:val="99"/>
    <w:rsid w:val="00F962B4"/>
    <w:pPr>
      <w:spacing w:after="160" w:line="259" w:lineRule="auto"/>
    </w:pPr>
    <w:rPr>
      <w:rFonts w:ascii="Calibri" w:hAnsi="Calibri"/>
      <w:sz w:val="20"/>
      <w:szCs w:val="20"/>
      <w:lang w:eastAsia="en-US"/>
    </w:rPr>
  </w:style>
  <w:style w:type="character" w:customStyle="1" w:styleId="CommentTextChar">
    <w:name w:val="Comment Text Char"/>
    <w:link w:val="CommentText"/>
    <w:uiPriority w:val="99"/>
    <w:locked/>
    <w:rsid w:val="00F962B4"/>
    <w:rPr>
      <w:rFonts w:ascii="Calibri" w:hAnsi="Calibri"/>
      <w:lang w:eastAsia="en-US"/>
    </w:rPr>
  </w:style>
  <w:style w:type="paragraph" w:styleId="CommentSubject">
    <w:name w:val="annotation subject"/>
    <w:basedOn w:val="CommentText"/>
    <w:next w:val="CommentText"/>
    <w:link w:val="CommentSubjectChar"/>
    <w:uiPriority w:val="99"/>
    <w:rsid w:val="00F962B4"/>
    <w:rPr>
      <w:b/>
    </w:rPr>
  </w:style>
  <w:style w:type="character" w:customStyle="1" w:styleId="CommentSubjectChar">
    <w:name w:val="Comment Subject Char"/>
    <w:link w:val="CommentSubject"/>
    <w:uiPriority w:val="99"/>
    <w:locked/>
    <w:rsid w:val="00F962B4"/>
    <w:rPr>
      <w:rFonts w:ascii="Calibri" w:hAnsi="Calibri"/>
      <w:b/>
      <w:lang w:eastAsia="en-US"/>
    </w:rPr>
  </w:style>
  <w:style w:type="table" w:styleId="TableGrid">
    <w:name w:val="Table Grid"/>
    <w:basedOn w:val="TableNormal"/>
    <w:uiPriority w:val="59"/>
    <w:rsid w:val="00F962B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962B4"/>
    <w:pPr>
      <w:spacing w:before="100" w:beforeAutospacing="1" w:after="100" w:afterAutospacing="1"/>
    </w:pPr>
    <w:rPr>
      <w:lang w:val="en-US" w:eastAsia="en-US"/>
    </w:rPr>
  </w:style>
  <w:style w:type="character" w:customStyle="1" w:styleId="22">
    <w:name w:val="Σώμα κειμένου (2) + Έντονη γραφή"/>
    <w:uiPriority w:val="99"/>
    <w:rsid w:val="00FB5DDF"/>
    <w:rPr>
      <w:rFonts w:ascii="Arial" w:hAnsi="Arial"/>
      <w:b/>
      <w:color w:val="000000"/>
      <w:spacing w:val="0"/>
      <w:w w:val="100"/>
      <w:position w:val="0"/>
      <w:sz w:val="19"/>
      <w:u w:val="none"/>
      <w:effect w:val="none"/>
      <w:lang w:val="en-US" w:eastAsia="en-US"/>
    </w:rPr>
  </w:style>
  <w:style w:type="character" w:styleId="Strong">
    <w:name w:val="Strong"/>
    <w:uiPriority w:val="22"/>
    <w:qFormat/>
    <w:rsid w:val="00FB5DDF"/>
    <w:rPr>
      <w:rFonts w:cs="Times New Roman"/>
      <w:b/>
    </w:rPr>
  </w:style>
  <w:style w:type="character" w:customStyle="1" w:styleId="TOC3Char">
    <w:name w:val="TOC 3 Char"/>
    <w:link w:val="TOC3"/>
    <w:uiPriority w:val="99"/>
    <w:locked/>
    <w:rsid w:val="00CA240D"/>
    <w:rPr>
      <w:rFonts w:ascii="Arial" w:hAnsi="Arial"/>
      <w:sz w:val="19"/>
      <w:shd w:val="clear" w:color="auto" w:fill="FFFFFF"/>
    </w:rPr>
  </w:style>
  <w:style w:type="paragraph" w:styleId="TOC3">
    <w:name w:val="toc 3"/>
    <w:basedOn w:val="Normal"/>
    <w:link w:val="TOC3Char"/>
    <w:autoRedefine/>
    <w:uiPriority w:val="39"/>
    <w:rsid w:val="00CA240D"/>
    <w:pPr>
      <w:widowControl w:val="0"/>
      <w:shd w:val="clear" w:color="auto" w:fill="FFFFFF"/>
      <w:spacing w:line="278" w:lineRule="exact"/>
      <w:jc w:val="both"/>
    </w:pPr>
    <w:rPr>
      <w:rFonts w:ascii="Arial" w:hAnsi="Arial"/>
      <w:sz w:val="19"/>
      <w:szCs w:val="20"/>
      <w:shd w:val="clear" w:color="auto" w:fill="FFFFFF"/>
    </w:rPr>
  </w:style>
  <w:style w:type="paragraph" w:styleId="TOC2">
    <w:name w:val="toc 2"/>
    <w:basedOn w:val="Normal"/>
    <w:next w:val="Normal"/>
    <w:autoRedefine/>
    <w:uiPriority w:val="39"/>
    <w:rsid w:val="00CA240D"/>
    <w:pPr>
      <w:ind w:left="240"/>
    </w:pPr>
  </w:style>
  <w:style w:type="character" w:customStyle="1" w:styleId="8">
    <w:name w:val="Σώμα κειμένου (8)_"/>
    <w:link w:val="81"/>
    <w:uiPriority w:val="99"/>
    <w:locked/>
    <w:rsid w:val="00CA240D"/>
    <w:rPr>
      <w:rFonts w:ascii="Arial" w:hAnsi="Arial"/>
      <w:b/>
      <w:i/>
      <w:sz w:val="32"/>
      <w:shd w:val="clear" w:color="auto" w:fill="FFFFFF"/>
    </w:rPr>
  </w:style>
  <w:style w:type="paragraph" w:customStyle="1" w:styleId="81">
    <w:name w:val="Σώμα κειμένου (8)1"/>
    <w:basedOn w:val="Normal"/>
    <w:link w:val="8"/>
    <w:uiPriority w:val="99"/>
    <w:rsid w:val="00CA240D"/>
    <w:pPr>
      <w:widowControl w:val="0"/>
      <w:shd w:val="clear" w:color="auto" w:fill="FFFFFF"/>
      <w:spacing w:line="240" w:lineRule="atLeast"/>
    </w:pPr>
    <w:rPr>
      <w:rFonts w:ascii="Arial" w:hAnsi="Arial"/>
      <w:b/>
      <w:i/>
      <w:sz w:val="32"/>
      <w:szCs w:val="20"/>
      <w:shd w:val="clear" w:color="auto" w:fill="FFFFFF"/>
    </w:rPr>
  </w:style>
  <w:style w:type="character" w:customStyle="1" w:styleId="84">
    <w:name w:val="Σώμα κειμένου (8)4"/>
    <w:uiPriority w:val="99"/>
    <w:rsid w:val="00CA240D"/>
    <w:rPr>
      <w:rFonts w:ascii="Arial" w:hAnsi="Arial"/>
      <w:b/>
      <w:i/>
      <w:color w:val="000000"/>
      <w:spacing w:val="0"/>
      <w:w w:val="100"/>
      <w:position w:val="0"/>
      <w:sz w:val="32"/>
      <w:u w:val="none"/>
      <w:effect w:val="none"/>
      <w:lang w:val="en-US" w:eastAsia="en-US"/>
    </w:rPr>
  </w:style>
  <w:style w:type="paragraph" w:styleId="EndnoteText">
    <w:name w:val="endnote text"/>
    <w:basedOn w:val="Normal"/>
    <w:link w:val="EndnoteTextChar"/>
    <w:semiHidden/>
    <w:locked/>
    <w:rsid w:val="009C1C77"/>
    <w:rPr>
      <w:sz w:val="20"/>
      <w:szCs w:val="20"/>
    </w:rPr>
  </w:style>
  <w:style w:type="character" w:customStyle="1" w:styleId="EndnoteTextChar">
    <w:name w:val="Endnote Text Char"/>
    <w:link w:val="EndnoteText"/>
    <w:semiHidden/>
    <w:locked/>
    <w:rsid w:val="009C1C77"/>
    <w:rPr>
      <w:sz w:val="20"/>
    </w:rPr>
  </w:style>
  <w:style w:type="character" w:styleId="EndnoteReference">
    <w:name w:val="endnote reference"/>
    <w:semiHidden/>
    <w:locked/>
    <w:rsid w:val="009C1C77"/>
    <w:rPr>
      <w:rFonts w:cs="Times New Roman"/>
      <w:vertAlign w:val="superscript"/>
    </w:rPr>
  </w:style>
  <w:style w:type="numbering" w:customStyle="1" w:styleId="1">
    <w:name w:val="Χωρίς λίστα1"/>
    <w:next w:val="NoList"/>
    <w:uiPriority w:val="99"/>
    <w:semiHidden/>
    <w:unhideWhenUsed/>
    <w:rsid w:val="00407E9F"/>
  </w:style>
  <w:style w:type="character" w:customStyle="1" w:styleId="fontstyle01">
    <w:name w:val="fontstyle01"/>
    <w:uiPriority w:val="99"/>
    <w:rsid w:val="00407E9F"/>
    <w:rPr>
      <w:rFonts w:ascii="DroidArabicKufi" w:hAnsi="DroidArabicKufi"/>
      <w:color w:val="000000"/>
      <w:sz w:val="20"/>
    </w:rPr>
  </w:style>
  <w:style w:type="character" w:customStyle="1" w:styleId="Heading1Char">
    <w:name w:val="Heading 1 Char"/>
    <w:aliases w:val="عنوان1 Char1"/>
    <w:link w:val="Heading1"/>
    <w:rsid w:val="00FC6304"/>
    <w:rPr>
      <w:rFonts w:ascii="Cambria" w:hAnsi="Cambria"/>
      <w:b/>
      <w:bCs/>
      <w:kern w:val="32"/>
      <w:sz w:val="32"/>
      <w:szCs w:val="32"/>
      <w:lang w:val="el-GR" w:eastAsia="el-GR"/>
    </w:rPr>
  </w:style>
  <w:style w:type="character" w:customStyle="1" w:styleId="Heading2Char">
    <w:name w:val="Heading 2 Char"/>
    <w:aliases w:val="عنوان2 Char"/>
    <w:link w:val="Heading2"/>
    <w:rsid w:val="00FC6304"/>
    <w:rPr>
      <w:rFonts w:ascii="Cambria" w:hAnsi="Cambria"/>
      <w:b/>
      <w:bCs/>
      <w:i/>
      <w:iCs/>
      <w:sz w:val="28"/>
      <w:szCs w:val="28"/>
      <w:lang w:val="el-GR" w:eastAsia="el-GR"/>
    </w:rPr>
  </w:style>
  <w:style w:type="character" w:customStyle="1" w:styleId="Heading3Char">
    <w:name w:val="Heading 3 Char"/>
    <w:link w:val="Heading3"/>
    <w:rsid w:val="00FC6304"/>
    <w:rPr>
      <w:rFonts w:ascii="Cambria" w:hAnsi="Cambria"/>
      <w:b/>
      <w:bCs/>
      <w:sz w:val="26"/>
      <w:szCs w:val="26"/>
      <w:lang w:val="el-GR" w:eastAsia="el-GR"/>
    </w:rPr>
  </w:style>
  <w:style w:type="character" w:customStyle="1" w:styleId="Heading5Char">
    <w:name w:val="Heading 5 Char"/>
    <w:link w:val="Heading5"/>
    <w:rsid w:val="00FC6304"/>
    <w:rPr>
      <w:rFonts w:ascii="Calibri" w:hAnsi="Calibri" w:cs="Arial"/>
      <w:b/>
      <w:bCs/>
      <w:i/>
      <w:iCs/>
      <w:sz w:val="26"/>
      <w:szCs w:val="26"/>
      <w:lang w:val="el-GR" w:eastAsia="el-GR"/>
    </w:rPr>
  </w:style>
  <w:style w:type="paragraph" w:styleId="BodyText2">
    <w:name w:val="Body Text 2"/>
    <w:basedOn w:val="Normal"/>
    <w:link w:val="BodyText2Char"/>
    <w:unhideWhenUsed/>
    <w:locked/>
    <w:rsid w:val="00FC6304"/>
    <w:pPr>
      <w:spacing w:after="120" w:line="480" w:lineRule="auto"/>
    </w:pPr>
  </w:style>
  <w:style w:type="character" w:customStyle="1" w:styleId="BodyText2Char">
    <w:name w:val="Body Text 2 Char"/>
    <w:link w:val="BodyText2"/>
    <w:rsid w:val="00FC6304"/>
    <w:rPr>
      <w:sz w:val="24"/>
      <w:szCs w:val="24"/>
      <w:lang w:val="el-GR" w:eastAsia="el-GR"/>
    </w:rPr>
  </w:style>
  <w:style w:type="paragraph" w:styleId="Title">
    <w:name w:val="Title"/>
    <w:basedOn w:val="Normal"/>
    <w:link w:val="TitleChar"/>
    <w:qFormat/>
    <w:locked/>
    <w:rsid w:val="00FC6304"/>
    <w:pPr>
      <w:jc w:val="center"/>
    </w:pPr>
    <w:rPr>
      <w:b/>
      <w:bCs/>
    </w:rPr>
  </w:style>
  <w:style w:type="character" w:customStyle="1" w:styleId="TitleChar">
    <w:name w:val="Title Char"/>
    <w:link w:val="Title"/>
    <w:rsid w:val="00FC6304"/>
    <w:rPr>
      <w:b/>
      <w:bCs/>
      <w:sz w:val="24"/>
      <w:szCs w:val="24"/>
    </w:rPr>
  </w:style>
  <w:style w:type="paragraph" w:styleId="BlockText">
    <w:name w:val="Block Text"/>
    <w:basedOn w:val="Normal"/>
    <w:locked/>
    <w:rsid w:val="00FC6304"/>
    <w:pPr>
      <w:tabs>
        <w:tab w:val="right" w:pos="8647"/>
      </w:tabs>
      <w:ind w:left="1134" w:right="566"/>
      <w:jc w:val="lowKashida"/>
    </w:pPr>
    <w:rPr>
      <w:rFonts w:cs="Traditional Arabic"/>
      <w:szCs w:val="20"/>
      <w:lang w:val="en-US" w:eastAsia="ar-SA"/>
    </w:rPr>
  </w:style>
  <w:style w:type="paragraph" w:customStyle="1" w:styleId="xl27">
    <w:name w:val="xl27"/>
    <w:basedOn w:val="Normal"/>
    <w:rsid w:val="00FC6304"/>
    <w:pPr>
      <w:pBdr>
        <w:left w:val="single" w:sz="4" w:space="0" w:color="auto"/>
        <w:bottom w:val="single" w:sz="4" w:space="0" w:color="auto"/>
        <w:right w:val="single" w:sz="4" w:space="0" w:color="auto"/>
      </w:pBdr>
      <w:spacing w:before="100" w:beforeAutospacing="1" w:after="100" w:afterAutospacing="1"/>
    </w:pPr>
    <w:rPr>
      <w:rFonts w:cs="Simplified Arabic"/>
      <w:lang w:val="en-US" w:eastAsia="en-US"/>
    </w:rPr>
  </w:style>
  <w:style w:type="character" w:customStyle="1" w:styleId="Heading9Char">
    <w:name w:val="Heading 9 Char"/>
    <w:link w:val="Heading9"/>
    <w:rsid w:val="009C7BF4"/>
    <w:rPr>
      <w:rFonts w:ascii="Cambria" w:eastAsia="Times New Roman" w:hAnsi="Cambria" w:cs="Times New Roman"/>
      <w:i/>
      <w:iCs/>
      <w:color w:val="404040"/>
      <w:lang w:val="el-GR" w:eastAsia="el-GR"/>
    </w:rPr>
  </w:style>
  <w:style w:type="character" w:customStyle="1" w:styleId="shorttext">
    <w:name w:val="short_text"/>
    <w:basedOn w:val="DefaultParagraphFont"/>
    <w:rsid w:val="009C7BF4"/>
  </w:style>
  <w:style w:type="character" w:styleId="FollowedHyperlink">
    <w:name w:val="FollowedHyperlink"/>
    <w:uiPriority w:val="99"/>
    <w:unhideWhenUsed/>
    <w:locked/>
    <w:rsid w:val="00E127EA"/>
    <w:rPr>
      <w:color w:val="954F72"/>
      <w:u w:val="single"/>
    </w:rPr>
  </w:style>
  <w:style w:type="paragraph" w:customStyle="1" w:styleId="xl67">
    <w:name w:val="xl67"/>
    <w:basedOn w:val="Normal"/>
    <w:rsid w:val="00E127EA"/>
    <w:pPr>
      <w:spacing w:before="100" w:beforeAutospacing="1" w:after="100" w:afterAutospacing="1"/>
      <w:textAlignment w:val="center"/>
    </w:pPr>
    <w:rPr>
      <w:rFonts w:ascii="Century Gothic" w:hAnsi="Century Gothic"/>
      <w:color w:val="000000"/>
      <w:sz w:val="20"/>
      <w:szCs w:val="20"/>
      <w:lang w:val="en-US" w:eastAsia="en-US"/>
    </w:rPr>
  </w:style>
  <w:style w:type="paragraph" w:customStyle="1" w:styleId="xl68">
    <w:name w:val="xl68"/>
    <w:basedOn w:val="Normal"/>
    <w:rsid w:val="00E127EA"/>
    <w:pPr>
      <w:spacing w:before="100" w:beforeAutospacing="1" w:after="100" w:afterAutospacing="1"/>
      <w:ind w:firstLineChars="100" w:firstLine="100"/>
      <w:jc w:val="right"/>
      <w:textAlignment w:val="center"/>
    </w:pPr>
    <w:rPr>
      <w:rFonts w:ascii="Century Gothic" w:hAnsi="Century Gothic"/>
      <w:color w:val="000000"/>
      <w:sz w:val="20"/>
      <w:szCs w:val="20"/>
      <w:lang w:val="en-US" w:eastAsia="en-US"/>
    </w:rPr>
  </w:style>
  <w:style w:type="paragraph" w:customStyle="1" w:styleId="xl69">
    <w:name w:val="xl69"/>
    <w:basedOn w:val="Normal"/>
    <w:rsid w:val="00E127EA"/>
    <w:pPr>
      <w:spacing w:before="100" w:beforeAutospacing="1" w:after="100" w:afterAutospacing="1"/>
      <w:ind w:firstLineChars="100" w:firstLine="100"/>
      <w:textAlignment w:val="center"/>
    </w:pPr>
    <w:rPr>
      <w:rFonts w:ascii="Century Gothic" w:hAnsi="Century Gothic"/>
      <w:color w:val="000000"/>
      <w:sz w:val="20"/>
      <w:szCs w:val="20"/>
      <w:lang w:val="en-US" w:eastAsia="en-US"/>
    </w:rPr>
  </w:style>
  <w:style w:type="paragraph" w:customStyle="1" w:styleId="xl70">
    <w:name w:val="xl70"/>
    <w:basedOn w:val="Normal"/>
    <w:rsid w:val="00E127EA"/>
    <w:pPr>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customStyle="1" w:styleId="xl71">
    <w:name w:val="xl71"/>
    <w:basedOn w:val="Normal"/>
    <w:rsid w:val="00E127EA"/>
    <w:pPr>
      <w:shd w:val="clear" w:color="000000" w:fill="008000"/>
      <w:spacing w:before="100" w:beforeAutospacing="1" w:after="100" w:afterAutospacing="1"/>
      <w:jc w:val="center"/>
      <w:textAlignment w:val="center"/>
    </w:pPr>
    <w:rPr>
      <w:rFonts w:ascii="Century Gothic" w:hAnsi="Century Gothic"/>
      <w:b/>
      <w:bCs/>
      <w:color w:val="FFFFFF"/>
      <w:lang w:val="en-US" w:eastAsia="en-US"/>
    </w:rPr>
  </w:style>
  <w:style w:type="paragraph" w:customStyle="1" w:styleId="xl72">
    <w:name w:val="xl72"/>
    <w:basedOn w:val="Normal"/>
    <w:rsid w:val="00E127EA"/>
    <w:pPr>
      <w:shd w:val="clear" w:color="000000" w:fill="008000"/>
      <w:spacing w:before="100" w:beforeAutospacing="1" w:after="100" w:afterAutospacing="1"/>
      <w:ind w:firstLineChars="100" w:firstLine="100"/>
      <w:jc w:val="right"/>
      <w:textAlignment w:val="center"/>
    </w:pPr>
    <w:rPr>
      <w:rFonts w:ascii="Century Gothic" w:hAnsi="Century Gothic"/>
      <w:b/>
      <w:bCs/>
      <w:color w:val="FFFFFF"/>
      <w:lang w:val="en-US" w:eastAsia="en-US"/>
    </w:rPr>
  </w:style>
  <w:style w:type="paragraph" w:customStyle="1" w:styleId="xl73">
    <w:name w:val="xl73"/>
    <w:basedOn w:val="Normal"/>
    <w:rsid w:val="00E127EA"/>
    <w:pPr>
      <w:shd w:val="clear" w:color="000000" w:fill="008000"/>
      <w:spacing w:before="100" w:beforeAutospacing="1" w:after="100" w:afterAutospacing="1"/>
      <w:ind w:firstLineChars="100" w:firstLine="100"/>
      <w:textAlignment w:val="center"/>
    </w:pPr>
    <w:rPr>
      <w:rFonts w:ascii="Century Gothic" w:hAnsi="Century Gothic"/>
      <w:b/>
      <w:bCs/>
      <w:color w:val="FFFFFF"/>
      <w:lang w:val="en-US" w:eastAsia="en-US"/>
    </w:rPr>
  </w:style>
  <w:style w:type="paragraph" w:customStyle="1" w:styleId="xl74">
    <w:name w:val="xl74"/>
    <w:basedOn w:val="Normal"/>
    <w:rsid w:val="00E127EA"/>
    <w:pPr>
      <w:shd w:val="clear" w:color="000000" w:fill="FFFF99"/>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styleId="PlainText">
    <w:name w:val="Plain Text"/>
    <w:basedOn w:val="Normal"/>
    <w:link w:val="PlainTextChar"/>
    <w:uiPriority w:val="99"/>
    <w:unhideWhenUsed/>
    <w:locked/>
    <w:rsid w:val="00B03F71"/>
    <w:pPr>
      <w:spacing w:before="100" w:beforeAutospacing="1" w:after="100" w:afterAutospacing="1"/>
    </w:pPr>
  </w:style>
  <w:style w:type="character" w:customStyle="1" w:styleId="PlainTextChar">
    <w:name w:val="Plain Text Char"/>
    <w:link w:val="PlainText"/>
    <w:uiPriority w:val="99"/>
    <w:rsid w:val="00B03F71"/>
    <w:rPr>
      <w:sz w:val="24"/>
      <w:szCs w:val="24"/>
    </w:rPr>
  </w:style>
  <w:style w:type="character" w:customStyle="1" w:styleId="Heading4Char">
    <w:name w:val="Heading 4 Char"/>
    <w:basedOn w:val="DefaultParagraphFont"/>
    <w:link w:val="Heading4"/>
    <w:rsid w:val="00064487"/>
    <w:rPr>
      <w:rFonts w:ascii="Simplified Arabic" w:eastAsia="Simplified Arabic" w:hAnsi="Simplified Arabic"/>
      <w:b/>
      <w:bCs/>
      <w:sz w:val="26"/>
      <w:szCs w:val="26"/>
    </w:rPr>
  </w:style>
  <w:style w:type="character" w:customStyle="1" w:styleId="Heading6Char">
    <w:name w:val="Heading 6 Char"/>
    <w:basedOn w:val="DefaultParagraphFont"/>
    <w:link w:val="Heading6"/>
    <w:rsid w:val="00064487"/>
    <w:rPr>
      <w:rFonts w:ascii="Cambria" w:hAnsi="Cambria"/>
      <w:i/>
      <w:iCs/>
      <w:color w:val="243F60"/>
      <w:sz w:val="24"/>
      <w:szCs w:val="24"/>
    </w:rPr>
  </w:style>
  <w:style w:type="character" w:customStyle="1" w:styleId="Heading8Char">
    <w:name w:val="Heading 8 Char"/>
    <w:basedOn w:val="DefaultParagraphFont"/>
    <w:link w:val="Heading8"/>
    <w:rsid w:val="00064487"/>
    <w:rPr>
      <w:rFonts w:ascii="Cambria" w:hAnsi="Cambria"/>
      <w:color w:val="404040"/>
    </w:rPr>
  </w:style>
  <w:style w:type="character" w:customStyle="1" w:styleId="Char2">
    <w:name w:val="رأس صفحة Char2"/>
    <w:basedOn w:val="DefaultParagraphFont"/>
    <w:uiPriority w:val="99"/>
    <w:rsid w:val="00064487"/>
  </w:style>
  <w:style w:type="character" w:customStyle="1" w:styleId="Char1">
    <w:name w:val="تذييل صفحة Char1"/>
    <w:basedOn w:val="DefaultParagraphFont"/>
    <w:uiPriority w:val="99"/>
    <w:rsid w:val="00064487"/>
  </w:style>
  <w:style w:type="paragraph" w:customStyle="1" w:styleId="ar">
    <w:name w:val="ar"/>
    <w:basedOn w:val="Normal"/>
    <w:rsid w:val="00064487"/>
    <w:pPr>
      <w:spacing w:before="100" w:beforeAutospacing="1" w:after="100" w:afterAutospacing="1"/>
    </w:pPr>
    <w:rPr>
      <w:lang w:val="en-US" w:eastAsia="en-US"/>
    </w:rPr>
  </w:style>
  <w:style w:type="character" w:customStyle="1" w:styleId="1Char1">
    <w:name w:val="عنوان 1 Char1"/>
    <w:aliases w:val="عنوان1 Char"/>
    <w:rsid w:val="00064487"/>
    <w:rPr>
      <w:rFonts w:ascii="Times New Roman" w:eastAsia="Times New Roman" w:hAnsi="Times New Roman" w:cs="Times New Roman"/>
      <w:b/>
      <w:bCs/>
      <w:kern w:val="36"/>
      <w:sz w:val="48"/>
      <w:szCs w:val="48"/>
    </w:rPr>
  </w:style>
  <w:style w:type="paragraph" w:styleId="z-TopofForm">
    <w:name w:val="HTML Top of Form"/>
    <w:basedOn w:val="Normal"/>
    <w:next w:val="Normal"/>
    <w:link w:val="z-TopofFormChar"/>
    <w:hidden/>
    <w:uiPriority w:val="99"/>
    <w:semiHidden/>
    <w:unhideWhenUsed/>
    <w:locked/>
    <w:rsid w:val="00064487"/>
    <w:pPr>
      <w:pBdr>
        <w:bottom w:val="single" w:sz="6" w:space="1" w:color="auto"/>
      </w:pBdr>
      <w:jc w:val="center"/>
    </w:pPr>
    <w:rPr>
      <w:rFonts w:ascii="Arial" w:hAnsi="Arial" w:cs="Arial"/>
      <w:vanish/>
      <w:sz w:val="16"/>
      <w:szCs w:val="16"/>
      <w:lang w:val="en-US" w:eastAsia="en-US"/>
    </w:rPr>
  </w:style>
  <w:style w:type="character" w:customStyle="1" w:styleId="z-TopofFormChar">
    <w:name w:val="z-Top of Form Char"/>
    <w:basedOn w:val="DefaultParagraphFont"/>
    <w:link w:val="z-TopofForm"/>
    <w:uiPriority w:val="99"/>
    <w:semiHidden/>
    <w:rsid w:val="0006448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locked/>
    <w:rsid w:val="00064487"/>
    <w:pPr>
      <w:pBdr>
        <w:top w:val="single" w:sz="6" w:space="1" w:color="auto"/>
      </w:pBdr>
      <w:jc w:val="center"/>
    </w:pPr>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semiHidden/>
    <w:rsid w:val="00064487"/>
    <w:rPr>
      <w:rFonts w:ascii="Arial" w:hAnsi="Arial" w:cs="Arial"/>
      <w:vanish/>
      <w:sz w:val="16"/>
      <w:szCs w:val="16"/>
    </w:rPr>
  </w:style>
  <w:style w:type="character" w:customStyle="1" w:styleId="mw-headline">
    <w:name w:val="mw-headline"/>
    <w:basedOn w:val="DefaultParagraphFont"/>
    <w:rsid w:val="00064487"/>
  </w:style>
  <w:style w:type="character" w:customStyle="1" w:styleId="mw-editsection">
    <w:name w:val="mw-editsection"/>
    <w:basedOn w:val="DefaultParagraphFont"/>
    <w:rsid w:val="00064487"/>
  </w:style>
  <w:style w:type="character" w:customStyle="1" w:styleId="mw-editsection-bracket">
    <w:name w:val="mw-editsection-bracket"/>
    <w:basedOn w:val="DefaultParagraphFont"/>
    <w:rsid w:val="00064487"/>
  </w:style>
  <w:style w:type="character" w:customStyle="1" w:styleId="flagicon">
    <w:name w:val="flagicon"/>
    <w:basedOn w:val="DefaultParagraphFont"/>
    <w:rsid w:val="00064487"/>
  </w:style>
  <w:style w:type="character" w:customStyle="1" w:styleId="time">
    <w:name w:val="time"/>
    <w:basedOn w:val="DefaultParagraphFont"/>
    <w:rsid w:val="00064487"/>
  </w:style>
  <w:style w:type="character" w:customStyle="1" w:styleId="posted-on">
    <w:name w:val="posted-on"/>
    <w:basedOn w:val="DefaultParagraphFont"/>
    <w:rsid w:val="00064487"/>
  </w:style>
  <w:style w:type="character" w:customStyle="1" w:styleId="dp-maindate">
    <w:name w:val="dp-maindate"/>
    <w:basedOn w:val="DefaultParagraphFont"/>
    <w:rsid w:val="00064487"/>
  </w:style>
  <w:style w:type="paragraph" w:customStyle="1" w:styleId="ydp3fed3f7msonormal">
    <w:name w:val="ydp3fed3f7msonormal"/>
    <w:basedOn w:val="Normal"/>
    <w:rsid w:val="00064487"/>
    <w:pPr>
      <w:spacing w:before="100" w:beforeAutospacing="1" w:after="100" w:afterAutospacing="1"/>
    </w:pPr>
    <w:rPr>
      <w:lang w:val="en-US" w:eastAsia="en-US"/>
    </w:rPr>
  </w:style>
  <w:style w:type="paragraph" w:customStyle="1" w:styleId="ydp3fed3f7msolistparagraph">
    <w:name w:val="ydp3fed3f7msolistparagraph"/>
    <w:basedOn w:val="Normal"/>
    <w:rsid w:val="00064487"/>
    <w:pPr>
      <w:spacing w:before="100" w:beforeAutospacing="1" w:after="100" w:afterAutospacing="1"/>
    </w:pPr>
    <w:rPr>
      <w:lang w:val="en-US" w:eastAsia="en-US"/>
    </w:rPr>
  </w:style>
  <w:style w:type="character" w:styleId="Emphasis">
    <w:name w:val="Emphasis"/>
    <w:uiPriority w:val="20"/>
    <w:qFormat/>
    <w:locked/>
    <w:rsid w:val="00064487"/>
    <w:rPr>
      <w:i/>
      <w:iCs/>
    </w:rPr>
  </w:style>
  <w:style w:type="table" w:customStyle="1" w:styleId="1-11">
    <w:name w:val="تظليل متوسط 1 - تمييز 11"/>
    <w:basedOn w:val="TableNormal"/>
    <w:uiPriority w:val="63"/>
    <w:rsid w:val="00064487"/>
    <w:rPr>
      <w:rFonts w:ascii="Calibri" w:eastAsia="Calibri" w:hAnsi="Calibri"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5">
    <w:name w:val="Light List Accent 5"/>
    <w:basedOn w:val="TableNormal"/>
    <w:uiPriority w:val="61"/>
    <w:rsid w:val="00064487"/>
    <w:rPr>
      <w:rFonts w:ascii="Calibri" w:eastAsia="Calibri" w:hAnsi="Calibri" w:cs="Arial"/>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11">
    <w:name w:val="قائمة فاتحة - تمييز 11"/>
    <w:basedOn w:val="TableNormal"/>
    <w:uiPriority w:val="61"/>
    <w:rsid w:val="00064487"/>
    <w:rPr>
      <w:rFonts w:ascii="Calibri" w:eastAsia="Calibri" w:hAnsi="Calibri" w:cs="Aria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0">
    <w:name w:val="شبكة فاتحة - تمييز 11"/>
    <w:basedOn w:val="TableNormal"/>
    <w:uiPriority w:val="62"/>
    <w:rsid w:val="00064487"/>
    <w:rPr>
      <w:rFonts w:ascii="Calibri" w:eastAsia="Calibri" w:hAnsi="Calibri" w:cs="Arial"/>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Marlett" w:eastAsia="Times New Roman" w:hAnsi="Marlet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Marlett" w:eastAsia="Times New Roman" w:hAnsi="Marlet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xmsonormal">
    <w:name w:val="x_msonormal"/>
    <w:basedOn w:val="Normal"/>
    <w:rsid w:val="00064487"/>
    <w:pPr>
      <w:spacing w:before="100" w:beforeAutospacing="1" w:after="100" w:afterAutospacing="1"/>
    </w:pPr>
    <w:rPr>
      <w:lang w:val="en-US" w:eastAsia="en-US"/>
    </w:rPr>
  </w:style>
  <w:style w:type="paragraph" w:customStyle="1" w:styleId="xmsolistparagraph">
    <w:name w:val="x_msolistparagraph"/>
    <w:basedOn w:val="Normal"/>
    <w:rsid w:val="00064487"/>
    <w:pPr>
      <w:spacing w:before="100" w:beforeAutospacing="1" w:after="100" w:afterAutospacing="1"/>
    </w:pPr>
    <w:rPr>
      <w:lang w:val="en-US" w:eastAsia="en-US"/>
    </w:rPr>
  </w:style>
  <w:style w:type="paragraph" w:styleId="Caption">
    <w:name w:val="caption"/>
    <w:basedOn w:val="Normal"/>
    <w:next w:val="Normal"/>
    <w:qFormat/>
    <w:locked/>
    <w:rsid w:val="00064487"/>
    <w:pPr>
      <w:bidi/>
      <w:jc w:val="lowKashida"/>
    </w:pPr>
    <w:rPr>
      <w:rFonts w:cs="Simplified Arabic"/>
      <w:b/>
      <w:bCs/>
      <w:color w:val="FF0000"/>
      <w:sz w:val="28"/>
      <w:szCs w:val="28"/>
      <w:lang w:val="en-US" w:eastAsia="en-US"/>
    </w:rPr>
  </w:style>
  <w:style w:type="paragraph" w:styleId="NoSpacing">
    <w:name w:val="No Spacing"/>
    <w:link w:val="NoSpacingChar"/>
    <w:uiPriority w:val="1"/>
    <w:qFormat/>
    <w:rsid w:val="00064487"/>
    <w:rPr>
      <w:rFonts w:cs="Arial"/>
      <w:sz w:val="24"/>
      <w:szCs w:val="22"/>
    </w:rPr>
  </w:style>
  <w:style w:type="numbering" w:customStyle="1" w:styleId="NoList1">
    <w:name w:val="No List1"/>
    <w:next w:val="NoList"/>
    <w:uiPriority w:val="99"/>
    <w:semiHidden/>
    <w:unhideWhenUsed/>
    <w:rsid w:val="00064487"/>
  </w:style>
  <w:style w:type="table" w:customStyle="1" w:styleId="TableGrid1">
    <w:name w:val="Table Grid1"/>
    <w:basedOn w:val="TableNormal"/>
    <w:next w:val="TableGrid"/>
    <w:uiPriority w:val="59"/>
    <w:rsid w:val="00064487"/>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Accent3">
    <w:name w:val="Light Shading Accent 3"/>
    <w:basedOn w:val="TableNormal"/>
    <w:uiPriority w:val="60"/>
    <w:rsid w:val="00064487"/>
    <w:rPr>
      <w:rFonts w:ascii="Calibri" w:hAnsi="Calibri" w:cs="Arial"/>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0">
    <w:name w:val="تظليل فاتح1"/>
    <w:basedOn w:val="TableNormal"/>
    <w:uiPriority w:val="60"/>
    <w:rsid w:val="00064487"/>
    <w:rPr>
      <w:rFonts w:ascii="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harCharCharCharCharChar">
    <w:name w:val="Char Char Char Char Char Char"/>
    <w:basedOn w:val="Normal"/>
    <w:autoRedefine/>
    <w:rsid w:val="00064487"/>
    <w:pPr>
      <w:bidi/>
      <w:ind w:firstLine="567"/>
      <w:jc w:val="lowKashida"/>
      <w:outlineLvl w:val="2"/>
    </w:pPr>
    <w:rPr>
      <w:rFonts w:eastAsia="SimSun" w:cs="Traditional Arabic"/>
      <w:b/>
      <w:bCs/>
      <w:sz w:val="28"/>
      <w:szCs w:val="36"/>
      <w:lang w:val="en-US" w:eastAsia="en-US" w:bidi="ar-BH"/>
    </w:rPr>
  </w:style>
  <w:style w:type="paragraph" w:customStyle="1" w:styleId="BodyFirst">
    <w:name w:val="Body First"/>
    <w:basedOn w:val="Normal"/>
    <w:next w:val="Bibliography"/>
    <w:link w:val="BodyFirstChar"/>
    <w:qFormat/>
    <w:rsid w:val="00064487"/>
    <w:pPr>
      <w:spacing w:after="120" w:line="360" w:lineRule="auto"/>
      <w:jc w:val="both"/>
      <w:outlineLvl w:val="2"/>
    </w:pPr>
    <w:rPr>
      <w:rFonts w:ascii="Times" w:hAnsi="Times"/>
      <w:kern w:val="22"/>
      <w:sz w:val="20"/>
      <w:szCs w:val="20"/>
      <w:lang w:val="en-GB" w:eastAsia="en-GB"/>
    </w:rPr>
  </w:style>
  <w:style w:type="character" w:customStyle="1" w:styleId="BodyFirstChar">
    <w:name w:val="Body First Char"/>
    <w:link w:val="BodyFirst"/>
    <w:rsid w:val="00064487"/>
    <w:rPr>
      <w:rFonts w:ascii="Times" w:hAnsi="Times"/>
      <w:kern w:val="22"/>
      <w:lang w:val="en-GB" w:eastAsia="en-GB"/>
    </w:rPr>
  </w:style>
  <w:style w:type="paragraph" w:styleId="Bibliography">
    <w:name w:val="Bibliography"/>
    <w:basedOn w:val="Normal"/>
    <w:next w:val="Normal"/>
    <w:uiPriority w:val="37"/>
    <w:unhideWhenUsed/>
    <w:rsid w:val="00064487"/>
    <w:pPr>
      <w:bidi/>
      <w:jc w:val="both"/>
      <w:outlineLvl w:val="2"/>
    </w:pPr>
    <w:rPr>
      <w:rFonts w:cs="Simplified Arabic"/>
      <w:lang w:val="en-US" w:eastAsia="en-US"/>
    </w:rPr>
  </w:style>
  <w:style w:type="character" w:customStyle="1" w:styleId="hps">
    <w:name w:val="hps"/>
    <w:rsid w:val="00064487"/>
  </w:style>
  <w:style w:type="paragraph" w:styleId="ListBullet">
    <w:name w:val="List Bullet"/>
    <w:basedOn w:val="Normal"/>
    <w:autoRedefine/>
    <w:locked/>
    <w:rsid w:val="00064487"/>
    <w:pPr>
      <w:spacing w:before="200" w:line="360" w:lineRule="auto"/>
      <w:jc w:val="both"/>
      <w:outlineLvl w:val="2"/>
    </w:pPr>
    <w:rPr>
      <w:rFonts w:ascii="Times" w:hAnsi="Times"/>
      <w:kern w:val="22"/>
      <w:szCs w:val="20"/>
      <w:lang w:val="en-GB" w:eastAsia="en-GB"/>
    </w:rPr>
  </w:style>
  <w:style w:type="paragraph" w:styleId="TOCHeading">
    <w:name w:val="TOC Heading"/>
    <w:basedOn w:val="Heading1"/>
    <w:next w:val="Normal"/>
    <w:uiPriority w:val="39"/>
    <w:unhideWhenUsed/>
    <w:qFormat/>
    <w:rsid w:val="00064487"/>
    <w:pPr>
      <w:keepLines/>
      <w:bidi/>
      <w:spacing w:before="480" w:after="0" w:line="276" w:lineRule="auto"/>
      <w:ind w:left="432" w:right="567" w:hanging="432"/>
      <w:outlineLvl w:val="9"/>
    </w:pPr>
    <w:rPr>
      <w:color w:val="365F91"/>
      <w:kern w:val="0"/>
      <w:sz w:val="28"/>
      <w:szCs w:val="28"/>
      <w:rtl/>
      <w:lang w:val="en-US" w:eastAsia="en-US"/>
    </w:rPr>
  </w:style>
  <w:style w:type="paragraph" w:styleId="TOC1">
    <w:name w:val="toc 1"/>
    <w:basedOn w:val="Normal"/>
    <w:next w:val="Normal"/>
    <w:autoRedefine/>
    <w:uiPriority w:val="39"/>
    <w:unhideWhenUsed/>
    <w:locked/>
    <w:rsid w:val="00064487"/>
    <w:pPr>
      <w:tabs>
        <w:tab w:val="left" w:pos="565"/>
        <w:tab w:val="right" w:leader="dot" w:pos="8210"/>
      </w:tabs>
      <w:bidi/>
      <w:spacing w:before="120" w:after="120"/>
      <w:ind w:left="284" w:right="851" w:hanging="284"/>
      <w:jc w:val="both"/>
      <w:outlineLvl w:val="2"/>
    </w:pPr>
    <w:rPr>
      <w:rFonts w:ascii="Simplified Arabic" w:hAnsi="Simplified Arabic" w:cs="Simplified Arabic"/>
      <w:b/>
      <w:bCs/>
      <w:noProof/>
      <w:lang w:val="en-US" w:eastAsia="en-US"/>
    </w:rPr>
  </w:style>
  <w:style w:type="character" w:customStyle="1" w:styleId="Char10">
    <w:name w:val="رأس صفحة Char1"/>
    <w:rsid w:val="00064487"/>
    <w:rPr>
      <w:rFonts w:ascii="Times New Roman" w:hAnsi="Times New Roman" w:cs="Simplified Arabic"/>
      <w:sz w:val="28"/>
      <w:szCs w:val="28"/>
    </w:rPr>
  </w:style>
  <w:style w:type="character" w:customStyle="1" w:styleId="NoSpacingChar">
    <w:name w:val="No Spacing Char"/>
    <w:link w:val="NoSpacing"/>
    <w:uiPriority w:val="1"/>
    <w:rsid w:val="00064487"/>
    <w:rPr>
      <w:rFonts w:cs="Arial"/>
      <w:sz w:val="24"/>
      <w:szCs w:val="22"/>
    </w:rPr>
  </w:style>
  <w:style w:type="paragraph" w:styleId="TableofFigures">
    <w:name w:val="table of figures"/>
    <w:basedOn w:val="Normal"/>
    <w:next w:val="Normal"/>
    <w:autoRedefine/>
    <w:uiPriority w:val="99"/>
    <w:unhideWhenUsed/>
    <w:locked/>
    <w:rsid w:val="00064487"/>
    <w:pPr>
      <w:bidi/>
      <w:jc w:val="both"/>
      <w:outlineLvl w:val="2"/>
    </w:pPr>
    <w:rPr>
      <w:rFonts w:eastAsia="Simplified Arabic" w:cs="Simplified Arabic"/>
      <w:sz w:val="26"/>
      <w:szCs w:val="26"/>
      <w:lang w:val="en-US" w:eastAsia="en-US"/>
    </w:rPr>
  </w:style>
  <w:style w:type="paragraph" w:customStyle="1" w:styleId="a">
    <w:name w:val="جدوووووووووووول"/>
    <w:basedOn w:val="Normal"/>
    <w:link w:val="Char"/>
    <w:qFormat/>
    <w:rsid w:val="00064487"/>
    <w:pPr>
      <w:tabs>
        <w:tab w:val="left" w:pos="84"/>
        <w:tab w:val="left" w:pos="1440"/>
        <w:tab w:val="left" w:pos="2160"/>
        <w:tab w:val="left" w:pos="2880"/>
        <w:tab w:val="left" w:pos="3600"/>
        <w:tab w:val="left" w:pos="4320"/>
        <w:tab w:val="left" w:pos="5111"/>
        <w:tab w:val="left" w:pos="7076"/>
      </w:tabs>
      <w:bidi/>
      <w:ind w:left="-58"/>
      <w:jc w:val="center"/>
      <w:outlineLvl w:val="2"/>
    </w:pPr>
    <w:rPr>
      <w:rFonts w:ascii="Calibri" w:eastAsia="Calibri" w:hAnsi="Calibri" w:cs="Simplified Arabic"/>
      <w:b/>
      <w:bCs/>
      <w:sz w:val="28"/>
      <w:szCs w:val="28"/>
      <w:lang w:val="en-US" w:eastAsia="en-US" w:bidi="ar-YE"/>
    </w:rPr>
  </w:style>
  <w:style w:type="character" w:customStyle="1" w:styleId="Char">
    <w:name w:val="جدوووووووووووول Char"/>
    <w:link w:val="a"/>
    <w:rsid w:val="00064487"/>
    <w:rPr>
      <w:rFonts w:ascii="Calibri" w:eastAsia="Calibri" w:hAnsi="Calibri" w:cs="Simplified Arabic"/>
      <w:b/>
      <w:bCs/>
      <w:sz w:val="28"/>
      <w:szCs w:val="28"/>
      <w:lang w:bidi="ar-YE"/>
    </w:rPr>
  </w:style>
  <w:style w:type="paragraph" w:styleId="Revision">
    <w:name w:val="Revision"/>
    <w:hidden/>
    <w:uiPriority w:val="99"/>
    <w:semiHidden/>
    <w:rsid w:val="00064487"/>
    <w:rPr>
      <w:rFonts w:ascii="Calibri" w:hAnsi="Calibri" w:cs="Arial"/>
      <w:sz w:val="22"/>
      <w:szCs w:val="22"/>
    </w:rPr>
  </w:style>
  <w:style w:type="paragraph" w:customStyle="1" w:styleId="a0">
    <w:name w:val="شكل"/>
    <w:basedOn w:val="a"/>
    <w:link w:val="Char0"/>
    <w:qFormat/>
    <w:rsid w:val="00064487"/>
    <w:rPr>
      <w:rFonts w:ascii="Simplified Arabic" w:hAnsi="Simplified Arabic"/>
      <w:sz w:val="24"/>
      <w:szCs w:val="24"/>
    </w:rPr>
  </w:style>
  <w:style w:type="character" w:customStyle="1" w:styleId="Char0">
    <w:name w:val="شكل Char"/>
    <w:link w:val="a0"/>
    <w:rsid w:val="00064487"/>
    <w:rPr>
      <w:rFonts w:ascii="Simplified Arabic" w:eastAsia="Calibri" w:hAnsi="Simplified Arabic" w:cs="Simplified Arabic"/>
      <w:b/>
      <w:bCs/>
      <w:sz w:val="24"/>
      <w:szCs w:val="24"/>
      <w:lang w:bidi="ar-YE"/>
    </w:rPr>
  </w:style>
  <w:style w:type="paragraph" w:customStyle="1" w:styleId="11">
    <w:name w:val="بلا تباعد1"/>
    <w:uiPriority w:val="1"/>
    <w:qFormat/>
    <w:rsid w:val="00064487"/>
    <w:pPr>
      <w:bidi/>
    </w:pPr>
    <w:rPr>
      <w:rFonts w:ascii="Calibri" w:hAnsi="Calibri" w:cs="Arial"/>
      <w:sz w:val="22"/>
      <w:szCs w:val="22"/>
    </w:rPr>
  </w:style>
  <w:style w:type="numbering" w:customStyle="1" w:styleId="12">
    <w:name w:val="بلا قائمة1"/>
    <w:next w:val="NoList"/>
    <w:semiHidden/>
    <w:unhideWhenUsed/>
    <w:rsid w:val="00064487"/>
  </w:style>
  <w:style w:type="table" w:customStyle="1" w:styleId="13">
    <w:name w:val="شبكة جدول1"/>
    <w:basedOn w:val="TableNormal"/>
    <w:next w:val="TableGrid"/>
    <w:uiPriority w:val="59"/>
    <w:rsid w:val="0006448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064487"/>
    <w:pPr>
      <w:bidi/>
      <w:ind w:left="720"/>
      <w:jc w:val="both"/>
      <w:outlineLvl w:val="2"/>
    </w:pPr>
    <w:rPr>
      <w:rFonts w:ascii="Calibri" w:hAnsi="Calibri" w:cs="Arial"/>
      <w:lang w:val="en-US" w:eastAsia="en-US"/>
    </w:rPr>
  </w:style>
  <w:style w:type="paragraph" w:styleId="BodyText3">
    <w:name w:val="Body Text 3"/>
    <w:basedOn w:val="Normal"/>
    <w:link w:val="BodyText3Char"/>
    <w:locked/>
    <w:rsid w:val="00064487"/>
    <w:pPr>
      <w:jc w:val="lowKashida"/>
      <w:outlineLvl w:val="2"/>
    </w:pPr>
    <w:rPr>
      <w:sz w:val="28"/>
      <w:szCs w:val="33"/>
      <w:lang w:val="en-US" w:eastAsia="en-US"/>
    </w:rPr>
  </w:style>
  <w:style w:type="character" w:customStyle="1" w:styleId="BodyText3Char">
    <w:name w:val="Body Text 3 Char"/>
    <w:basedOn w:val="DefaultParagraphFont"/>
    <w:link w:val="BodyText3"/>
    <w:rsid w:val="00064487"/>
    <w:rPr>
      <w:sz w:val="28"/>
      <w:szCs w:val="33"/>
    </w:rPr>
  </w:style>
  <w:style w:type="paragraph" w:styleId="Subtitle">
    <w:name w:val="Subtitle"/>
    <w:basedOn w:val="Normal"/>
    <w:next w:val="Normal"/>
    <w:link w:val="SubtitleChar"/>
    <w:autoRedefine/>
    <w:uiPriority w:val="11"/>
    <w:qFormat/>
    <w:locked/>
    <w:rsid w:val="00064487"/>
    <w:pPr>
      <w:numPr>
        <w:ilvl w:val="1"/>
      </w:numPr>
      <w:bidi/>
      <w:spacing w:after="160"/>
      <w:jc w:val="center"/>
      <w:outlineLvl w:val="2"/>
    </w:pPr>
    <w:rPr>
      <w:rFonts w:ascii="Simplified Arabic" w:hAnsi="Simplified Arabic"/>
      <w:b/>
      <w:bCs/>
      <w:sz w:val="30"/>
      <w:szCs w:val="30"/>
      <w:lang w:val="en-US" w:eastAsia="en-US"/>
    </w:rPr>
  </w:style>
  <w:style w:type="character" w:customStyle="1" w:styleId="SubtitleChar">
    <w:name w:val="Subtitle Char"/>
    <w:basedOn w:val="DefaultParagraphFont"/>
    <w:link w:val="Subtitle"/>
    <w:uiPriority w:val="11"/>
    <w:rsid w:val="00064487"/>
    <w:rPr>
      <w:rFonts w:ascii="Simplified Arabic" w:hAnsi="Simplified Arabic"/>
      <w:b/>
      <w:bCs/>
      <w:sz w:val="30"/>
      <w:szCs w:val="30"/>
    </w:rPr>
  </w:style>
  <w:style w:type="paragraph" w:styleId="TOC4">
    <w:name w:val="toc 4"/>
    <w:basedOn w:val="Normal"/>
    <w:next w:val="Normal"/>
    <w:autoRedefine/>
    <w:uiPriority w:val="39"/>
    <w:unhideWhenUsed/>
    <w:locked/>
    <w:rsid w:val="00064487"/>
    <w:pPr>
      <w:tabs>
        <w:tab w:val="left" w:pos="1699"/>
        <w:tab w:val="right" w:leader="dot" w:pos="8210"/>
      </w:tabs>
      <w:bidi/>
      <w:ind w:left="658" w:right="851"/>
      <w:jc w:val="both"/>
      <w:outlineLvl w:val="2"/>
    </w:pPr>
    <w:rPr>
      <w:rFonts w:ascii="Simplified Arabic" w:eastAsia="Simplified Arabic" w:hAnsi="Simplified Arabic" w:cs="Simplified Arabic"/>
      <w:noProof/>
      <w:lang w:val="en-US" w:eastAsia="en-US"/>
    </w:rPr>
  </w:style>
  <w:style w:type="paragraph" w:styleId="TOC5">
    <w:name w:val="toc 5"/>
    <w:basedOn w:val="Normal"/>
    <w:next w:val="Normal"/>
    <w:autoRedefine/>
    <w:uiPriority w:val="39"/>
    <w:unhideWhenUsed/>
    <w:locked/>
    <w:rsid w:val="00064487"/>
    <w:pPr>
      <w:bidi/>
      <w:spacing w:after="100" w:line="259" w:lineRule="auto"/>
      <w:ind w:left="880"/>
      <w:jc w:val="both"/>
      <w:outlineLvl w:val="2"/>
    </w:pPr>
    <w:rPr>
      <w:rFonts w:ascii="Simplified Arabic" w:eastAsia="Simplified Arabic" w:hAnsi="Simplified Arabic" w:cs="Simplified Arabic"/>
      <w:sz w:val="26"/>
      <w:szCs w:val="26"/>
      <w:lang w:val="en-US" w:eastAsia="en-US"/>
    </w:rPr>
  </w:style>
  <w:style w:type="paragraph" w:styleId="TOC6">
    <w:name w:val="toc 6"/>
    <w:basedOn w:val="Normal"/>
    <w:next w:val="Normal"/>
    <w:autoRedefine/>
    <w:uiPriority w:val="39"/>
    <w:unhideWhenUsed/>
    <w:locked/>
    <w:rsid w:val="00064487"/>
    <w:pPr>
      <w:bidi/>
      <w:spacing w:after="100" w:line="259" w:lineRule="auto"/>
      <w:ind w:left="1100"/>
      <w:jc w:val="both"/>
      <w:outlineLvl w:val="2"/>
    </w:pPr>
    <w:rPr>
      <w:rFonts w:cs="Simplified Arabic"/>
      <w:lang w:val="en-US" w:eastAsia="en-US"/>
    </w:rPr>
  </w:style>
  <w:style w:type="paragraph" w:styleId="TOC7">
    <w:name w:val="toc 7"/>
    <w:basedOn w:val="Normal"/>
    <w:next w:val="Normal"/>
    <w:autoRedefine/>
    <w:uiPriority w:val="39"/>
    <w:unhideWhenUsed/>
    <w:locked/>
    <w:rsid w:val="00064487"/>
    <w:pPr>
      <w:bidi/>
      <w:spacing w:after="100" w:line="259" w:lineRule="auto"/>
      <w:ind w:left="1320"/>
      <w:jc w:val="both"/>
      <w:outlineLvl w:val="2"/>
    </w:pPr>
    <w:rPr>
      <w:rFonts w:cs="Simplified Arabic"/>
      <w:lang w:val="en-US" w:eastAsia="en-US"/>
    </w:rPr>
  </w:style>
  <w:style w:type="paragraph" w:styleId="TOC8">
    <w:name w:val="toc 8"/>
    <w:basedOn w:val="Normal"/>
    <w:next w:val="Normal"/>
    <w:autoRedefine/>
    <w:uiPriority w:val="39"/>
    <w:unhideWhenUsed/>
    <w:locked/>
    <w:rsid w:val="00064487"/>
    <w:pPr>
      <w:bidi/>
      <w:spacing w:after="100" w:line="259" w:lineRule="auto"/>
      <w:ind w:left="1540"/>
      <w:jc w:val="both"/>
      <w:outlineLvl w:val="2"/>
    </w:pPr>
    <w:rPr>
      <w:rFonts w:cs="Simplified Arabic"/>
      <w:lang w:val="en-US" w:eastAsia="en-US"/>
    </w:rPr>
  </w:style>
  <w:style w:type="paragraph" w:styleId="TOC9">
    <w:name w:val="toc 9"/>
    <w:basedOn w:val="Normal"/>
    <w:next w:val="Normal"/>
    <w:autoRedefine/>
    <w:uiPriority w:val="39"/>
    <w:unhideWhenUsed/>
    <w:locked/>
    <w:rsid w:val="00064487"/>
    <w:pPr>
      <w:bidi/>
      <w:spacing w:after="100" w:line="259" w:lineRule="auto"/>
      <w:ind w:left="1760"/>
      <w:jc w:val="both"/>
      <w:outlineLvl w:val="2"/>
    </w:pPr>
    <w:rPr>
      <w:rFonts w:cs="Simplified Arabic"/>
      <w:lang w:val="en-US" w:eastAsia="en-US"/>
    </w:rPr>
  </w:style>
  <w:style w:type="paragraph" w:styleId="BodyTextIndent">
    <w:name w:val="Body Text Indent"/>
    <w:basedOn w:val="Normal"/>
    <w:link w:val="BodyTextIndentChar"/>
    <w:unhideWhenUsed/>
    <w:locked/>
    <w:rsid w:val="00064487"/>
    <w:pPr>
      <w:bidi/>
      <w:spacing w:after="120"/>
      <w:ind w:left="283"/>
      <w:jc w:val="both"/>
      <w:outlineLvl w:val="2"/>
    </w:pPr>
    <w:rPr>
      <w:rFonts w:cs="Simplified Arabic"/>
      <w:lang w:val="en-US" w:eastAsia="en-US"/>
    </w:rPr>
  </w:style>
  <w:style w:type="character" w:customStyle="1" w:styleId="BodyTextIndentChar">
    <w:name w:val="Body Text Indent Char"/>
    <w:basedOn w:val="DefaultParagraphFont"/>
    <w:link w:val="BodyTextIndent"/>
    <w:rsid w:val="00064487"/>
    <w:rPr>
      <w:rFonts w:cs="Simplified Arabic"/>
      <w:sz w:val="24"/>
      <w:szCs w:val="24"/>
    </w:rPr>
  </w:style>
  <w:style w:type="paragraph" w:styleId="BodyTextIndent3">
    <w:name w:val="Body Text Indent 3"/>
    <w:basedOn w:val="Normal"/>
    <w:link w:val="BodyTextIndent3Char"/>
    <w:unhideWhenUsed/>
    <w:locked/>
    <w:rsid w:val="00064487"/>
    <w:pPr>
      <w:bidi/>
      <w:spacing w:after="120"/>
      <w:ind w:left="283"/>
      <w:jc w:val="both"/>
      <w:outlineLvl w:val="2"/>
    </w:pPr>
    <w:rPr>
      <w:rFonts w:ascii="Calibri" w:hAnsi="Calibri"/>
      <w:sz w:val="16"/>
      <w:szCs w:val="16"/>
      <w:lang w:val="en-US" w:eastAsia="en-US"/>
    </w:rPr>
  </w:style>
  <w:style w:type="character" w:customStyle="1" w:styleId="BodyTextIndent3Char">
    <w:name w:val="Body Text Indent 3 Char"/>
    <w:basedOn w:val="DefaultParagraphFont"/>
    <w:link w:val="BodyTextIndent3"/>
    <w:rsid w:val="00064487"/>
    <w:rPr>
      <w:rFonts w:ascii="Calibri" w:hAnsi="Calibri"/>
      <w:sz w:val="16"/>
      <w:szCs w:val="16"/>
    </w:rPr>
  </w:style>
  <w:style w:type="paragraph" w:customStyle="1" w:styleId="a1">
    <w:name w:val="الفقرات الداخلية"/>
    <w:basedOn w:val="Normal"/>
    <w:autoRedefine/>
    <w:rsid w:val="00064487"/>
    <w:pPr>
      <w:bidi/>
      <w:spacing w:before="120" w:after="120"/>
      <w:ind w:firstLine="720"/>
      <w:jc w:val="both"/>
      <w:outlineLvl w:val="2"/>
    </w:pPr>
    <w:rPr>
      <w:rFonts w:cs="Simplified Arabic"/>
      <w:sz w:val="18"/>
      <w:szCs w:val="18"/>
      <w:lang w:val="en-US" w:eastAsia="zh-CN"/>
    </w:rPr>
  </w:style>
  <w:style w:type="paragraph" w:customStyle="1" w:styleId="ParaChar">
    <w:name w:val="خط الفقرة الافتراضي Para Char"/>
    <w:basedOn w:val="Normal"/>
    <w:rsid w:val="00064487"/>
    <w:pPr>
      <w:bidi/>
      <w:jc w:val="both"/>
      <w:outlineLvl w:val="2"/>
    </w:pPr>
    <w:rPr>
      <w:rFonts w:cs="Traditional Arabic"/>
      <w:noProof/>
      <w:sz w:val="20"/>
      <w:szCs w:val="20"/>
      <w:lang w:val="en-US" w:eastAsia="ar-SA"/>
    </w:rPr>
  </w:style>
  <w:style w:type="paragraph" w:customStyle="1" w:styleId="23">
    <w:name w:val="نمط2"/>
    <w:basedOn w:val="Normal"/>
    <w:link w:val="2Char"/>
    <w:rsid w:val="00064487"/>
    <w:pPr>
      <w:bidi/>
      <w:jc w:val="lowKashida"/>
      <w:outlineLvl w:val="2"/>
    </w:pPr>
    <w:rPr>
      <w:b/>
      <w:bCs/>
      <w:noProof/>
      <w:sz w:val="20"/>
      <w:szCs w:val="30"/>
      <w:lang w:val="en-US" w:eastAsia="ar-SA"/>
    </w:rPr>
  </w:style>
  <w:style w:type="character" w:customStyle="1" w:styleId="2Char">
    <w:name w:val="نمط2 Char"/>
    <w:link w:val="23"/>
    <w:rsid w:val="00064487"/>
    <w:rPr>
      <w:b/>
      <w:bCs/>
      <w:noProof/>
      <w:szCs w:val="30"/>
      <w:lang w:eastAsia="ar-SA"/>
    </w:rPr>
  </w:style>
  <w:style w:type="paragraph" w:customStyle="1" w:styleId="3">
    <w:name w:val="نمط3"/>
    <w:basedOn w:val="Normal"/>
    <w:link w:val="3Char"/>
    <w:rsid w:val="00064487"/>
    <w:pPr>
      <w:bidi/>
      <w:ind w:firstLine="651"/>
      <w:jc w:val="both"/>
      <w:outlineLvl w:val="2"/>
    </w:pPr>
    <w:rPr>
      <w:rFonts w:ascii="Arial Narrow" w:hAnsi="Arial Narrow"/>
      <w:b/>
      <w:bCs/>
      <w:noProof/>
      <w:sz w:val="20"/>
      <w:szCs w:val="30"/>
      <w:lang w:val="en-US" w:eastAsia="ar-SA"/>
    </w:rPr>
  </w:style>
  <w:style w:type="character" w:customStyle="1" w:styleId="3Char">
    <w:name w:val="نمط3 Char"/>
    <w:link w:val="3"/>
    <w:rsid w:val="00064487"/>
    <w:rPr>
      <w:rFonts w:ascii="Arial Narrow" w:hAnsi="Arial Narrow"/>
      <w:b/>
      <w:bCs/>
      <w:noProof/>
      <w:szCs w:val="30"/>
      <w:lang w:eastAsia="ar-SA"/>
    </w:rPr>
  </w:style>
  <w:style w:type="character" w:customStyle="1" w:styleId="Char3">
    <w:name w:val="مخطط المستند Char"/>
    <w:uiPriority w:val="99"/>
    <w:rsid w:val="00064487"/>
    <w:rPr>
      <w:rFonts w:ascii="Tahoma" w:hAnsi="Tahoma" w:cs="Tahoma"/>
      <w:sz w:val="16"/>
      <w:szCs w:val="16"/>
    </w:rPr>
  </w:style>
  <w:style w:type="paragraph" w:customStyle="1" w:styleId="14">
    <w:name w:val="سرد الفقرات1"/>
    <w:basedOn w:val="Normal"/>
    <w:rsid w:val="00064487"/>
    <w:pPr>
      <w:ind w:left="720"/>
      <w:jc w:val="both"/>
      <w:outlineLvl w:val="2"/>
    </w:pPr>
    <w:rPr>
      <w:rFonts w:ascii="Calibri" w:hAnsi="Calibri" w:cs="Arial"/>
      <w:lang w:val="en-US" w:eastAsia="en-US"/>
    </w:rPr>
  </w:style>
  <w:style w:type="table" w:customStyle="1" w:styleId="15">
    <w:name w:val="التقويم 1"/>
    <w:basedOn w:val="TableNormal"/>
    <w:uiPriority w:val="99"/>
    <w:qFormat/>
    <w:rsid w:val="00064487"/>
    <w:pPr>
      <w:bidi/>
    </w:pPr>
    <w:rPr>
      <w:rFonts w:ascii="Calibri" w:hAnsi="Calibri" w:cs="Arial"/>
      <w:rtl/>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cs="Arial"/>
        <w:b/>
        <w:bCs/>
        <w:i w:val="0"/>
        <w:iCs w:val="0"/>
        <w:color w:val="000000"/>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DocumentMap">
    <w:name w:val="Document Map"/>
    <w:basedOn w:val="Normal"/>
    <w:link w:val="DocumentMapChar"/>
    <w:uiPriority w:val="99"/>
    <w:semiHidden/>
    <w:unhideWhenUsed/>
    <w:locked/>
    <w:rsid w:val="00064487"/>
    <w:pPr>
      <w:bidi/>
      <w:jc w:val="both"/>
      <w:outlineLvl w:val="2"/>
    </w:pPr>
    <w:rPr>
      <w:rFonts w:ascii="Tahoma" w:hAnsi="Tahoma"/>
      <w:sz w:val="16"/>
      <w:szCs w:val="16"/>
      <w:lang w:val="en-US" w:eastAsia="en-US"/>
    </w:rPr>
  </w:style>
  <w:style w:type="character" w:customStyle="1" w:styleId="Char4">
    <w:name w:val="خريطة مستند Char"/>
    <w:basedOn w:val="DefaultParagraphFont"/>
    <w:link w:val="16"/>
    <w:rsid w:val="00064487"/>
    <w:rPr>
      <w:rFonts w:ascii="Tahoma" w:hAnsi="Tahoma" w:cs="Tahoma"/>
      <w:sz w:val="16"/>
      <w:szCs w:val="16"/>
      <w:lang w:val="el-GR" w:eastAsia="el-GR"/>
    </w:rPr>
  </w:style>
  <w:style w:type="character" w:customStyle="1" w:styleId="DocumentMapChar">
    <w:name w:val="Document Map Char"/>
    <w:link w:val="DocumentMap"/>
    <w:uiPriority w:val="99"/>
    <w:semiHidden/>
    <w:rsid w:val="00064487"/>
    <w:rPr>
      <w:rFonts w:ascii="Tahoma" w:hAnsi="Tahoma"/>
      <w:sz w:val="16"/>
      <w:szCs w:val="16"/>
    </w:rPr>
  </w:style>
  <w:style w:type="character" w:customStyle="1" w:styleId="HeaderChar1">
    <w:name w:val="Header Char1"/>
    <w:basedOn w:val="DefaultParagraphFont"/>
    <w:uiPriority w:val="99"/>
    <w:rsid w:val="00064487"/>
  </w:style>
  <w:style w:type="character" w:customStyle="1" w:styleId="FooterChar1">
    <w:name w:val="Footer Char1"/>
    <w:basedOn w:val="DefaultParagraphFont"/>
    <w:uiPriority w:val="99"/>
    <w:rsid w:val="00064487"/>
  </w:style>
  <w:style w:type="character" w:customStyle="1" w:styleId="style61">
    <w:name w:val="style61"/>
    <w:uiPriority w:val="99"/>
    <w:rsid w:val="00064487"/>
    <w:rPr>
      <w:rFonts w:cs="Times New Roman"/>
      <w:color w:val="006633"/>
    </w:rPr>
  </w:style>
  <w:style w:type="character" w:customStyle="1" w:styleId="apple-converted-space">
    <w:name w:val="apple-converted-space"/>
    <w:basedOn w:val="DefaultParagraphFont"/>
    <w:rsid w:val="00064487"/>
  </w:style>
  <w:style w:type="table" w:styleId="TableElegant">
    <w:name w:val="Table Elegant"/>
    <w:basedOn w:val="TableNormal"/>
    <w:locked/>
    <w:rsid w:val="0006448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locked/>
    <w:rsid w:val="0006448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4">
    <w:name w:val="Table Columns 4"/>
    <w:basedOn w:val="TableNormal"/>
    <w:locked/>
    <w:rsid w:val="0006448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paragraph" w:customStyle="1" w:styleId="a2">
    <w:name w:val="جدوووول"/>
    <w:basedOn w:val="Normal"/>
    <w:link w:val="Char5"/>
    <w:rsid w:val="00064487"/>
    <w:pPr>
      <w:bidi/>
      <w:spacing w:before="40" w:after="120"/>
      <w:jc w:val="center"/>
      <w:outlineLvl w:val="2"/>
    </w:pPr>
    <w:rPr>
      <w:rFonts w:ascii="Simplified Arabic" w:eastAsia="Calibri" w:hAnsi="Simplified Arabic"/>
      <w:b/>
      <w:bCs/>
      <w:sz w:val="28"/>
      <w:szCs w:val="28"/>
      <w:lang w:val="en-US" w:eastAsia="en-US"/>
    </w:rPr>
  </w:style>
  <w:style w:type="character" w:customStyle="1" w:styleId="Char5">
    <w:name w:val="جدوووول Char"/>
    <w:link w:val="a2"/>
    <w:locked/>
    <w:rsid w:val="00064487"/>
    <w:rPr>
      <w:rFonts w:ascii="Simplified Arabic" w:eastAsia="Calibri" w:hAnsi="Simplified Arabic"/>
      <w:b/>
      <w:bCs/>
      <w:sz w:val="28"/>
      <w:szCs w:val="28"/>
    </w:rPr>
  </w:style>
  <w:style w:type="paragraph" w:customStyle="1" w:styleId="a3">
    <w:name w:val="ششكل"/>
    <w:basedOn w:val="Normal"/>
    <w:link w:val="Char6"/>
    <w:rsid w:val="00064487"/>
    <w:pPr>
      <w:autoSpaceDE w:val="0"/>
      <w:autoSpaceDN w:val="0"/>
      <w:bidi/>
      <w:adjustRightInd w:val="0"/>
      <w:spacing w:before="40" w:after="120"/>
      <w:jc w:val="center"/>
      <w:outlineLvl w:val="2"/>
    </w:pPr>
    <w:rPr>
      <w:rFonts w:ascii="Simplified Arabic" w:eastAsia="Calibri" w:hAnsi="Simplified Arabic"/>
      <w:b/>
      <w:bCs/>
      <w:sz w:val="28"/>
      <w:szCs w:val="28"/>
      <w:lang w:val="en-US" w:eastAsia="en-US"/>
    </w:rPr>
  </w:style>
  <w:style w:type="character" w:customStyle="1" w:styleId="Char6">
    <w:name w:val="ششكل Char"/>
    <w:link w:val="a3"/>
    <w:locked/>
    <w:rsid w:val="00064487"/>
    <w:rPr>
      <w:rFonts w:ascii="Simplified Arabic" w:eastAsia="Calibri" w:hAnsi="Simplified Arabic"/>
      <w:b/>
      <w:bCs/>
      <w:sz w:val="28"/>
      <w:szCs w:val="28"/>
    </w:rPr>
  </w:style>
  <w:style w:type="paragraph" w:customStyle="1" w:styleId="16">
    <w:name w:val="1"/>
    <w:basedOn w:val="Normal"/>
    <w:next w:val="DocumentMap"/>
    <w:link w:val="Char4"/>
    <w:rsid w:val="00064487"/>
    <w:pPr>
      <w:shd w:val="clear" w:color="auto" w:fill="000080"/>
      <w:bidi/>
      <w:jc w:val="both"/>
      <w:outlineLvl w:val="2"/>
    </w:pPr>
    <w:rPr>
      <w:rFonts w:ascii="Tahoma" w:hAnsi="Tahoma" w:cs="Tahoma"/>
      <w:sz w:val="16"/>
      <w:szCs w:val="16"/>
    </w:rPr>
  </w:style>
  <w:style w:type="table" w:customStyle="1" w:styleId="17">
    <w:name w:val="جدول أنيق1"/>
    <w:basedOn w:val="TableNormal"/>
    <w:next w:val="TableElegant"/>
    <w:rsid w:val="00064487"/>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51">
    <w:name w:val="أعمدة جدول 51"/>
    <w:basedOn w:val="TableNormal"/>
    <w:next w:val="TableColumns5"/>
    <w:rsid w:val="00064487"/>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410">
    <w:name w:val="أعمدة جدول 41"/>
    <w:basedOn w:val="TableNormal"/>
    <w:next w:val="TableColumns4"/>
    <w:rsid w:val="00064487"/>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10">
    <w:name w:val="شبكة جدول11"/>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شبكة جدول2"/>
    <w:basedOn w:val="TableNormal"/>
    <w:next w:val="TableGrid"/>
    <w:uiPriority w:val="5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شبكة جدول3"/>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بلا قائمة11"/>
    <w:next w:val="NoList"/>
    <w:uiPriority w:val="99"/>
    <w:semiHidden/>
    <w:unhideWhenUsed/>
    <w:rsid w:val="00064487"/>
  </w:style>
  <w:style w:type="table" w:customStyle="1" w:styleId="42">
    <w:name w:val="شبكة جدول4"/>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شبكة جدول5"/>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شبكة جدول فاتح1"/>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
    <w:name w:val="شبكة جدول فاتح11"/>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0">
    <w:name w:val="شبكة جدول فاتح12"/>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30">
    <w:name w:val="شبكة جدول فاتح13"/>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
    <w:name w:val="شبكة جدول فاتح14"/>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0">
    <w:name w:val="شبكة جدول فاتح15"/>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0">
    <w:name w:val="شبكة جدول فاتح16"/>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70">
    <w:name w:val="شبكة جدول فاتح17"/>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80">
    <w:name w:val="شبكة جدول فاتح18"/>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شبكة جدول فاتح2"/>
    <w:basedOn w:val="TableNormal"/>
    <w:uiPriority w:val="40"/>
    <w:rsid w:val="00064487"/>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جدول شبكة 4 - تمييز 21"/>
    <w:basedOn w:val="TableNormal"/>
    <w:uiPriority w:val="49"/>
    <w:rsid w:val="00064487"/>
    <w:rPr>
      <w:rFonts w:ascii="Calibri" w:eastAsia="Calibri" w:hAnsi="Calibri" w:cs="Arial"/>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paragraph" w:customStyle="1" w:styleId="19">
    <w:name w:val="جدول (1)"/>
    <w:basedOn w:val="ListParagraph"/>
    <w:link w:val="1Char"/>
    <w:qFormat/>
    <w:rsid w:val="00064487"/>
    <w:pPr>
      <w:jc w:val="center"/>
      <w:outlineLvl w:val="2"/>
    </w:pPr>
    <w:rPr>
      <w:rFonts w:ascii="Simplified Arabic" w:eastAsia="Calibri" w:hAnsi="Simplified Arabic"/>
      <w:bCs/>
      <w:noProof w:val="0"/>
      <w:szCs w:val="28"/>
      <w:lang w:eastAsia="en-US"/>
    </w:rPr>
  </w:style>
  <w:style w:type="character" w:customStyle="1" w:styleId="1Char">
    <w:name w:val="جدول (1) Char"/>
    <w:link w:val="19"/>
    <w:rsid w:val="00064487"/>
    <w:rPr>
      <w:rFonts w:ascii="Simplified Arabic" w:eastAsia="Calibri" w:hAnsi="Simplified Arabic"/>
      <w:bCs/>
      <w:sz w:val="24"/>
      <w:szCs w:val="28"/>
    </w:rPr>
  </w:style>
  <w:style w:type="paragraph" w:customStyle="1" w:styleId="xl63">
    <w:name w:val="xl63"/>
    <w:basedOn w:val="Normal"/>
    <w:rsid w:val="00064487"/>
    <w:pPr>
      <w:spacing w:before="100" w:beforeAutospacing="1" w:after="100" w:afterAutospacing="1"/>
      <w:jc w:val="both"/>
      <w:outlineLvl w:val="2"/>
    </w:pPr>
    <w:rPr>
      <w:sz w:val="20"/>
      <w:szCs w:val="20"/>
      <w:lang w:val="en-US" w:eastAsia="en-US"/>
    </w:rPr>
  </w:style>
  <w:style w:type="paragraph" w:customStyle="1" w:styleId="xl64">
    <w:name w:val="xl64"/>
    <w:basedOn w:val="Normal"/>
    <w:rsid w:val="00064487"/>
    <w:pPr>
      <w:spacing w:before="100" w:beforeAutospacing="1" w:after="100" w:afterAutospacing="1"/>
      <w:jc w:val="center"/>
      <w:outlineLvl w:val="2"/>
    </w:pPr>
    <w:rPr>
      <w:sz w:val="20"/>
      <w:szCs w:val="20"/>
      <w:lang w:val="en-US" w:eastAsia="en-US"/>
    </w:rPr>
  </w:style>
  <w:style w:type="paragraph" w:customStyle="1" w:styleId="xl66">
    <w:name w:val="xl66"/>
    <w:basedOn w:val="Normal"/>
    <w:rsid w:val="00064487"/>
    <w:pPr>
      <w:spacing w:before="100" w:beforeAutospacing="1" w:after="100" w:afterAutospacing="1"/>
      <w:jc w:val="center"/>
      <w:outlineLvl w:val="2"/>
    </w:pPr>
    <w:rPr>
      <w:sz w:val="20"/>
      <w:szCs w:val="20"/>
      <w:lang w:val="en-US" w:eastAsia="en-US"/>
    </w:rPr>
  </w:style>
  <w:style w:type="paragraph" w:customStyle="1" w:styleId="xl75">
    <w:name w:val="xl75"/>
    <w:basedOn w:val="Normal"/>
    <w:rsid w:val="00064487"/>
    <w:pPr>
      <w:pBdr>
        <w:bottom w:val="single" w:sz="8" w:space="0" w:color="auto"/>
        <w:right w:val="single" w:sz="8" w:space="0" w:color="auto"/>
      </w:pBdr>
      <w:spacing w:before="100" w:beforeAutospacing="1" w:after="100" w:afterAutospacing="1"/>
      <w:jc w:val="both"/>
      <w:outlineLvl w:val="2"/>
    </w:pPr>
    <w:rPr>
      <w:lang w:val="en-US" w:eastAsia="en-US"/>
    </w:rPr>
  </w:style>
  <w:style w:type="paragraph" w:customStyle="1" w:styleId="xl76">
    <w:name w:val="xl76"/>
    <w:basedOn w:val="Normal"/>
    <w:rsid w:val="00064487"/>
    <w:pPr>
      <w:spacing w:before="100" w:beforeAutospacing="1" w:after="100" w:afterAutospacing="1"/>
      <w:jc w:val="both"/>
      <w:textAlignment w:val="center"/>
      <w:outlineLvl w:val="2"/>
    </w:pPr>
    <w:rPr>
      <w:rFonts w:ascii="Simplified Arabic" w:hAnsi="Simplified Arabic" w:cs="Simplified Arabic"/>
      <w:color w:val="000000"/>
      <w:sz w:val="20"/>
      <w:szCs w:val="20"/>
      <w:lang w:val="en-US" w:eastAsia="en-US"/>
    </w:rPr>
  </w:style>
  <w:style w:type="paragraph" w:customStyle="1" w:styleId="xl77">
    <w:name w:val="xl77"/>
    <w:basedOn w:val="Normal"/>
    <w:rsid w:val="00064487"/>
    <w:pPr>
      <w:spacing w:before="100" w:beforeAutospacing="1" w:after="100" w:afterAutospacing="1"/>
      <w:jc w:val="both"/>
      <w:outlineLvl w:val="2"/>
    </w:pPr>
    <w:rPr>
      <w:sz w:val="20"/>
      <w:szCs w:val="20"/>
      <w:lang w:val="en-US" w:eastAsia="en-US"/>
    </w:rPr>
  </w:style>
  <w:style w:type="character" w:customStyle="1" w:styleId="st">
    <w:name w:val="st"/>
    <w:basedOn w:val="DefaultParagraphFont"/>
    <w:rsid w:val="00064487"/>
  </w:style>
  <w:style w:type="character" w:customStyle="1" w:styleId="1a">
    <w:name w:val="تأكيد دقيق1"/>
    <w:uiPriority w:val="19"/>
    <w:rsid w:val="00064487"/>
    <w:rPr>
      <w:rFonts w:cs="Times New Roman"/>
      <w:i/>
      <w:iCs/>
      <w:color w:val="808080"/>
    </w:rPr>
  </w:style>
  <w:style w:type="numbering" w:customStyle="1" w:styleId="26">
    <w:name w:val="بلا قائمة2"/>
    <w:next w:val="NoList"/>
    <w:uiPriority w:val="99"/>
    <w:semiHidden/>
    <w:unhideWhenUsed/>
    <w:rsid w:val="00064487"/>
  </w:style>
  <w:style w:type="character" w:styleId="SubtleEmphasis">
    <w:name w:val="Subtle Emphasis"/>
    <w:uiPriority w:val="19"/>
    <w:qFormat/>
    <w:rsid w:val="00064487"/>
    <w:rPr>
      <w:i/>
      <w:iCs/>
      <w:color w:val="404040"/>
    </w:rPr>
  </w:style>
  <w:style w:type="paragraph" w:styleId="TOAHeading">
    <w:name w:val="toa heading"/>
    <w:basedOn w:val="Normal"/>
    <w:next w:val="Normal"/>
    <w:uiPriority w:val="99"/>
    <w:semiHidden/>
    <w:locked/>
    <w:rsid w:val="00064487"/>
    <w:pPr>
      <w:bidi/>
      <w:spacing w:before="120"/>
      <w:jc w:val="both"/>
      <w:outlineLvl w:val="2"/>
    </w:pPr>
    <w:rPr>
      <w:rFonts w:ascii="Arial" w:hAnsi="Arial" w:cs="Arial"/>
      <w:b/>
      <w:bCs/>
      <w:noProof/>
      <w:lang w:val="en-US" w:eastAsia="en-US"/>
    </w:rPr>
  </w:style>
  <w:style w:type="table" w:styleId="Table3Deffects3">
    <w:name w:val="Table 3D effects 3"/>
    <w:basedOn w:val="TableNormal"/>
    <w:locked/>
    <w:rsid w:val="00064487"/>
    <w:pPr>
      <w:bidi/>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Cite">
    <w:name w:val="HTML Cite"/>
    <w:uiPriority w:val="99"/>
    <w:unhideWhenUsed/>
    <w:locked/>
    <w:rsid w:val="00064487"/>
    <w:rPr>
      <w:rFonts w:cs="Times New Roman"/>
      <w:i/>
    </w:rPr>
  </w:style>
  <w:style w:type="table" w:customStyle="1" w:styleId="TableGrid11">
    <w:name w:val="Table Grid11"/>
    <w:basedOn w:val="TableNormal"/>
    <w:next w:val="TableGrid"/>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4487"/>
    <w:pPr>
      <w:autoSpaceDE w:val="0"/>
      <w:autoSpaceDN w:val="0"/>
      <w:adjustRightInd w:val="0"/>
    </w:pPr>
    <w:rPr>
      <w:color w:val="000000"/>
      <w:sz w:val="24"/>
      <w:szCs w:val="24"/>
    </w:rPr>
  </w:style>
  <w:style w:type="character" w:customStyle="1" w:styleId="algo-summary">
    <w:name w:val="algo-summary"/>
    <w:rsid w:val="00064487"/>
  </w:style>
  <w:style w:type="character" w:customStyle="1" w:styleId="xhps">
    <w:name w:val="x_hps"/>
    <w:rsid w:val="00064487"/>
  </w:style>
  <w:style w:type="paragraph" w:customStyle="1" w:styleId="A0E349F008B644AAB6A282E0D042D17E">
    <w:name w:val="A0E349F008B644AAB6A282E0D042D17E"/>
    <w:rsid w:val="00064487"/>
    <w:pPr>
      <w:bidi/>
      <w:spacing w:after="200" w:line="276" w:lineRule="auto"/>
    </w:pPr>
    <w:rPr>
      <w:rFonts w:ascii="Calibri" w:hAnsi="Calibri" w:cs="Arial"/>
      <w:sz w:val="22"/>
      <w:szCs w:val="22"/>
    </w:rPr>
  </w:style>
  <w:style w:type="character" w:customStyle="1" w:styleId="highlight">
    <w:name w:val="highlight"/>
    <w:rsid w:val="00064487"/>
    <w:rPr>
      <w:rFonts w:ascii="DIN" w:hAnsi="DIN"/>
      <w:caps/>
      <w:sz w:val="42"/>
    </w:rPr>
  </w:style>
  <w:style w:type="table" w:customStyle="1" w:styleId="TableGrid5">
    <w:name w:val="Table Grid5"/>
    <w:basedOn w:val="TableNormal"/>
    <w:next w:val="TableGrid"/>
    <w:uiPriority w:val="5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64487"/>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chexplword">
    <w:name w:val="srch_expl_word"/>
    <w:rsid w:val="00064487"/>
  </w:style>
  <w:style w:type="paragraph" w:customStyle="1" w:styleId="xl45">
    <w:name w:val="xl45"/>
    <w:basedOn w:val="Normal"/>
    <w:rsid w:val="00064487"/>
    <w:pPr>
      <w:pBdr>
        <w:left w:val="single" w:sz="4" w:space="0" w:color="auto"/>
        <w:bottom w:val="single" w:sz="4" w:space="0" w:color="auto"/>
        <w:right w:val="single" w:sz="4" w:space="0" w:color="auto"/>
      </w:pBdr>
      <w:spacing w:before="100" w:beforeAutospacing="1" w:after="100" w:afterAutospacing="1"/>
      <w:jc w:val="center"/>
      <w:textAlignment w:val="center"/>
      <w:outlineLvl w:val="2"/>
    </w:pPr>
    <w:rPr>
      <w:rFonts w:ascii="Arial Unicode MS" w:cs="Simplified Arabic"/>
      <w:b/>
      <w:bCs/>
      <w:sz w:val="18"/>
      <w:szCs w:val="18"/>
      <w:lang w:val="en-US" w:eastAsia="ar-SA"/>
    </w:rPr>
  </w:style>
  <w:style w:type="character" w:customStyle="1" w:styleId="UnresolvedMention1">
    <w:name w:val="Unresolved Mention1"/>
    <w:uiPriority w:val="99"/>
    <w:semiHidden/>
    <w:unhideWhenUsed/>
    <w:rsid w:val="00064487"/>
    <w:rPr>
      <w:rFonts w:cs="Times New Roman"/>
      <w:color w:val="605E5C"/>
      <w:shd w:val="clear" w:color="auto" w:fill="E1DFDD"/>
    </w:rPr>
  </w:style>
  <w:style w:type="table" w:customStyle="1" w:styleId="TableGrid7">
    <w:name w:val="Table Grid7"/>
    <w:basedOn w:val="TableNormal"/>
    <w:next w:val="TableGrid"/>
    <w:uiPriority w:val="3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عنوان رئيسي"/>
    <w:basedOn w:val="Normal"/>
    <w:link w:val="Char7"/>
    <w:qFormat/>
    <w:rsid w:val="00064487"/>
    <w:pPr>
      <w:autoSpaceDE w:val="0"/>
      <w:autoSpaceDN w:val="0"/>
      <w:bidi/>
      <w:jc w:val="center"/>
      <w:outlineLvl w:val="2"/>
    </w:pPr>
    <w:rPr>
      <w:b/>
      <w:bCs/>
      <w:sz w:val="28"/>
      <w:szCs w:val="28"/>
      <w:lang w:val="en-US" w:eastAsia="en-US"/>
    </w:rPr>
  </w:style>
  <w:style w:type="character" w:customStyle="1" w:styleId="Char7">
    <w:name w:val="عنوان رئيسي Char"/>
    <w:link w:val="a4"/>
    <w:rsid w:val="00064487"/>
    <w:rPr>
      <w:b/>
      <w:bCs/>
      <w:sz w:val="28"/>
      <w:szCs w:val="28"/>
    </w:rPr>
  </w:style>
  <w:style w:type="paragraph" w:customStyle="1" w:styleId="1b">
    <w:name w:val="عنوان فرعي1"/>
    <w:basedOn w:val="Normal"/>
    <w:link w:val="1Char0"/>
    <w:qFormat/>
    <w:rsid w:val="00064487"/>
    <w:pPr>
      <w:autoSpaceDE w:val="0"/>
      <w:autoSpaceDN w:val="0"/>
      <w:bidi/>
      <w:ind w:right="567"/>
      <w:jc w:val="center"/>
      <w:outlineLvl w:val="2"/>
    </w:pPr>
    <w:rPr>
      <w:rFonts w:ascii="Simplified Arabic" w:hAnsi="Simplified Arabic"/>
      <w:b/>
      <w:bCs/>
      <w:sz w:val="28"/>
      <w:szCs w:val="28"/>
      <w:lang w:val="en-US" w:eastAsia="en-US"/>
    </w:rPr>
  </w:style>
  <w:style w:type="character" w:customStyle="1" w:styleId="1Char0">
    <w:name w:val="عنوان فرعي1 Char"/>
    <w:link w:val="1b"/>
    <w:rsid w:val="00064487"/>
    <w:rPr>
      <w:rFonts w:ascii="Simplified Arabic" w:hAnsi="Simplified Arabic"/>
      <w:b/>
      <w:bCs/>
      <w:sz w:val="28"/>
      <w:szCs w:val="28"/>
    </w:rPr>
  </w:style>
  <w:style w:type="paragraph" w:customStyle="1" w:styleId="a5">
    <w:name w:val="جدول"/>
    <w:basedOn w:val="Normal"/>
    <w:link w:val="Char8"/>
    <w:qFormat/>
    <w:rsid w:val="00064487"/>
    <w:pPr>
      <w:autoSpaceDE w:val="0"/>
      <w:autoSpaceDN w:val="0"/>
      <w:bidi/>
      <w:jc w:val="center"/>
      <w:outlineLvl w:val="2"/>
    </w:pPr>
    <w:rPr>
      <w:b/>
      <w:bCs/>
      <w:lang w:val="en-US" w:eastAsia="en-US"/>
    </w:rPr>
  </w:style>
  <w:style w:type="character" w:customStyle="1" w:styleId="Char8">
    <w:name w:val="جدول Char"/>
    <w:link w:val="a5"/>
    <w:rsid w:val="00064487"/>
    <w:rPr>
      <w:b/>
      <w:bCs/>
      <w:sz w:val="24"/>
      <w:szCs w:val="24"/>
    </w:rPr>
  </w:style>
  <w:style w:type="numbering" w:customStyle="1" w:styleId="NoList11">
    <w:name w:val="No List11"/>
    <w:next w:val="NoList"/>
    <w:semiHidden/>
    <w:unhideWhenUsed/>
    <w:rsid w:val="00064487"/>
  </w:style>
  <w:style w:type="numbering" w:customStyle="1" w:styleId="NoList111">
    <w:name w:val="No List111"/>
    <w:next w:val="NoList"/>
    <w:uiPriority w:val="99"/>
    <w:semiHidden/>
    <w:unhideWhenUsed/>
    <w:rsid w:val="00064487"/>
  </w:style>
  <w:style w:type="numbering" w:customStyle="1" w:styleId="NoList1111">
    <w:name w:val="No List1111"/>
    <w:next w:val="NoList"/>
    <w:uiPriority w:val="99"/>
    <w:semiHidden/>
    <w:rsid w:val="00064487"/>
  </w:style>
  <w:style w:type="numbering" w:customStyle="1" w:styleId="NoList11111">
    <w:name w:val="No List11111"/>
    <w:next w:val="NoList"/>
    <w:uiPriority w:val="99"/>
    <w:semiHidden/>
    <w:unhideWhenUsed/>
    <w:rsid w:val="00064487"/>
  </w:style>
  <w:style w:type="numbering" w:customStyle="1" w:styleId="NoList2">
    <w:name w:val="No List2"/>
    <w:next w:val="NoList"/>
    <w:uiPriority w:val="99"/>
    <w:semiHidden/>
    <w:unhideWhenUsed/>
    <w:rsid w:val="00064487"/>
  </w:style>
  <w:style w:type="character" w:customStyle="1" w:styleId="UnresolvedMention11">
    <w:name w:val="Unresolved Mention11"/>
    <w:uiPriority w:val="99"/>
    <w:semiHidden/>
    <w:unhideWhenUsed/>
    <w:rsid w:val="00064487"/>
    <w:rPr>
      <w:color w:val="605E5C"/>
      <w:shd w:val="clear" w:color="auto" w:fill="E1DFDD"/>
    </w:rPr>
  </w:style>
  <w:style w:type="numbering" w:customStyle="1" w:styleId="NoList3">
    <w:name w:val="No List3"/>
    <w:next w:val="NoList"/>
    <w:uiPriority w:val="99"/>
    <w:semiHidden/>
    <w:unhideWhenUsed/>
    <w:rsid w:val="00064487"/>
  </w:style>
  <w:style w:type="numbering" w:customStyle="1" w:styleId="NoList12">
    <w:name w:val="No List12"/>
    <w:next w:val="NoList"/>
    <w:uiPriority w:val="99"/>
    <w:semiHidden/>
    <w:unhideWhenUsed/>
    <w:rsid w:val="00064487"/>
  </w:style>
  <w:style w:type="numbering" w:customStyle="1" w:styleId="NoList112">
    <w:name w:val="No List112"/>
    <w:next w:val="NoList"/>
    <w:uiPriority w:val="99"/>
    <w:semiHidden/>
    <w:rsid w:val="00064487"/>
  </w:style>
  <w:style w:type="table" w:customStyle="1" w:styleId="Table3Deffects31">
    <w:name w:val="Table 3D effects 31"/>
    <w:basedOn w:val="TableNormal"/>
    <w:next w:val="Table3Deffects3"/>
    <w:rsid w:val="00064487"/>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2">
    <w:name w:val="Table Grid12"/>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064487"/>
  </w:style>
  <w:style w:type="table" w:customStyle="1" w:styleId="TableGrid51">
    <w:name w:val="Table Grid51"/>
    <w:basedOn w:val="TableNormal"/>
    <w:next w:val="TableGrid"/>
    <w:uiPriority w:val="5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064487"/>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64487"/>
  </w:style>
  <w:style w:type="table" w:customStyle="1" w:styleId="TableGrid71">
    <w:name w:val="Table Grid71"/>
    <w:basedOn w:val="TableNormal"/>
    <w:next w:val="TableGrid"/>
    <w:uiPriority w:val="3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064487"/>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64487"/>
    <w:rPr>
      <w:color w:val="605E5C"/>
      <w:shd w:val="clear" w:color="auto" w:fill="E1DFDD"/>
    </w:rPr>
  </w:style>
  <w:style w:type="table" w:customStyle="1" w:styleId="TableGrid72">
    <w:name w:val="Table Grid72"/>
    <w:basedOn w:val="TableNormal"/>
    <w:next w:val="TableGrid"/>
    <w:uiPriority w:val="39"/>
    <w:rsid w:val="0006448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blication-metatype">
    <w:name w:val="publication-meta__type"/>
    <w:basedOn w:val="DefaultParagraphFont"/>
    <w:rsid w:val="00064487"/>
  </w:style>
  <w:style w:type="character" w:customStyle="1" w:styleId="nova-c-buttonlabel">
    <w:name w:val="nova-c-button__label"/>
    <w:basedOn w:val="DefaultParagraphFont"/>
    <w:rsid w:val="00064487"/>
  </w:style>
  <w:style w:type="paragraph" w:customStyle="1" w:styleId="nova-e-listitem">
    <w:name w:val="nova-e-list__item"/>
    <w:basedOn w:val="Normal"/>
    <w:rsid w:val="00064487"/>
    <w:pPr>
      <w:spacing w:before="100" w:beforeAutospacing="1" w:after="100" w:afterAutospacing="1"/>
      <w:jc w:val="both"/>
      <w:outlineLvl w:val="2"/>
    </w:pPr>
    <w:rPr>
      <w:lang w:val="en-US" w:eastAsia="en-US"/>
    </w:rPr>
  </w:style>
  <w:style w:type="paragraph" w:customStyle="1" w:styleId="27">
    <w:name w:val="فصل تمهيدي عنوان2"/>
    <w:basedOn w:val="Heading2"/>
    <w:link w:val="2Char0"/>
    <w:qFormat/>
    <w:rsid w:val="00064487"/>
    <w:pPr>
      <w:keepLines/>
      <w:bidi/>
      <w:spacing w:before="0" w:after="0"/>
      <w:ind w:left="578" w:hanging="578"/>
      <w:jc w:val="both"/>
    </w:pPr>
    <w:rPr>
      <w:rFonts w:ascii="Simplified Arabic" w:hAnsi="Simplified Arabic"/>
      <w:i w:val="0"/>
      <w:iCs w:val="0"/>
      <w:sz w:val="24"/>
      <w:szCs w:val="24"/>
      <w:lang w:val="en-US" w:eastAsia="en-US"/>
    </w:rPr>
  </w:style>
  <w:style w:type="character" w:customStyle="1" w:styleId="2Char0">
    <w:name w:val="فصل تمهيدي عنوان2 Char"/>
    <w:link w:val="27"/>
    <w:rsid w:val="00064487"/>
    <w:rPr>
      <w:rFonts w:ascii="Simplified Arabic" w:hAnsi="Simplified Arabic"/>
      <w:b/>
      <w:bCs/>
      <w:sz w:val="24"/>
      <w:szCs w:val="24"/>
    </w:rPr>
  </w:style>
  <w:style w:type="character" w:customStyle="1" w:styleId="tlid-translation">
    <w:name w:val="tlid-translation"/>
    <w:basedOn w:val="DefaultParagraphFont"/>
    <w:rsid w:val="00D61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7482">
      <w:bodyDiv w:val="1"/>
      <w:marLeft w:val="0"/>
      <w:marRight w:val="0"/>
      <w:marTop w:val="0"/>
      <w:marBottom w:val="0"/>
      <w:divBdr>
        <w:top w:val="none" w:sz="0" w:space="0" w:color="auto"/>
        <w:left w:val="none" w:sz="0" w:space="0" w:color="auto"/>
        <w:bottom w:val="none" w:sz="0" w:space="0" w:color="auto"/>
        <w:right w:val="none" w:sz="0" w:space="0" w:color="auto"/>
      </w:divBdr>
    </w:div>
    <w:div w:id="131022934">
      <w:bodyDiv w:val="1"/>
      <w:marLeft w:val="0"/>
      <w:marRight w:val="0"/>
      <w:marTop w:val="0"/>
      <w:marBottom w:val="0"/>
      <w:divBdr>
        <w:top w:val="none" w:sz="0" w:space="0" w:color="auto"/>
        <w:left w:val="none" w:sz="0" w:space="0" w:color="auto"/>
        <w:bottom w:val="none" w:sz="0" w:space="0" w:color="auto"/>
        <w:right w:val="none" w:sz="0" w:space="0" w:color="auto"/>
      </w:divBdr>
    </w:div>
    <w:div w:id="136339814">
      <w:bodyDiv w:val="1"/>
      <w:marLeft w:val="0"/>
      <w:marRight w:val="0"/>
      <w:marTop w:val="0"/>
      <w:marBottom w:val="0"/>
      <w:divBdr>
        <w:top w:val="none" w:sz="0" w:space="0" w:color="auto"/>
        <w:left w:val="none" w:sz="0" w:space="0" w:color="auto"/>
        <w:bottom w:val="none" w:sz="0" w:space="0" w:color="auto"/>
        <w:right w:val="none" w:sz="0" w:space="0" w:color="auto"/>
      </w:divBdr>
      <w:divsChild>
        <w:div w:id="1748309541">
          <w:marLeft w:val="0"/>
          <w:marRight w:val="0"/>
          <w:marTop w:val="0"/>
          <w:marBottom w:val="0"/>
          <w:divBdr>
            <w:top w:val="none" w:sz="0" w:space="0" w:color="auto"/>
            <w:left w:val="none" w:sz="0" w:space="0" w:color="auto"/>
            <w:bottom w:val="none" w:sz="0" w:space="0" w:color="auto"/>
            <w:right w:val="none" w:sz="0" w:space="0" w:color="auto"/>
          </w:divBdr>
        </w:div>
      </w:divsChild>
    </w:div>
    <w:div w:id="217712175">
      <w:bodyDiv w:val="1"/>
      <w:marLeft w:val="0"/>
      <w:marRight w:val="0"/>
      <w:marTop w:val="0"/>
      <w:marBottom w:val="0"/>
      <w:divBdr>
        <w:top w:val="none" w:sz="0" w:space="0" w:color="auto"/>
        <w:left w:val="none" w:sz="0" w:space="0" w:color="auto"/>
        <w:bottom w:val="none" w:sz="0" w:space="0" w:color="auto"/>
        <w:right w:val="none" w:sz="0" w:space="0" w:color="auto"/>
      </w:divBdr>
    </w:div>
    <w:div w:id="244654829">
      <w:marLeft w:val="0"/>
      <w:marRight w:val="0"/>
      <w:marTop w:val="0"/>
      <w:marBottom w:val="0"/>
      <w:divBdr>
        <w:top w:val="none" w:sz="0" w:space="0" w:color="auto"/>
        <w:left w:val="none" w:sz="0" w:space="0" w:color="auto"/>
        <w:bottom w:val="none" w:sz="0" w:space="0" w:color="auto"/>
        <w:right w:val="none" w:sz="0" w:space="0" w:color="auto"/>
      </w:divBdr>
    </w:div>
    <w:div w:id="244654830">
      <w:marLeft w:val="0"/>
      <w:marRight w:val="0"/>
      <w:marTop w:val="0"/>
      <w:marBottom w:val="0"/>
      <w:divBdr>
        <w:top w:val="none" w:sz="0" w:space="0" w:color="auto"/>
        <w:left w:val="none" w:sz="0" w:space="0" w:color="auto"/>
        <w:bottom w:val="none" w:sz="0" w:space="0" w:color="auto"/>
        <w:right w:val="none" w:sz="0" w:space="0" w:color="auto"/>
      </w:divBdr>
    </w:div>
    <w:div w:id="244654831">
      <w:marLeft w:val="0"/>
      <w:marRight w:val="0"/>
      <w:marTop w:val="0"/>
      <w:marBottom w:val="0"/>
      <w:divBdr>
        <w:top w:val="none" w:sz="0" w:space="0" w:color="auto"/>
        <w:left w:val="none" w:sz="0" w:space="0" w:color="auto"/>
        <w:bottom w:val="none" w:sz="0" w:space="0" w:color="auto"/>
        <w:right w:val="none" w:sz="0" w:space="0" w:color="auto"/>
      </w:divBdr>
    </w:div>
    <w:div w:id="244654832">
      <w:marLeft w:val="0"/>
      <w:marRight w:val="0"/>
      <w:marTop w:val="0"/>
      <w:marBottom w:val="0"/>
      <w:divBdr>
        <w:top w:val="none" w:sz="0" w:space="0" w:color="auto"/>
        <w:left w:val="none" w:sz="0" w:space="0" w:color="auto"/>
        <w:bottom w:val="none" w:sz="0" w:space="0" w:color="auto"/>
        <w:right w:val="none" w:sz="0" w:space="0" w:color="auto"/>
      </w:divBdr>
    </w:div>
    <w:div w:id="244654833">
      <w:marLeft w:val="0"/>
      <w:marRight w:val="0"/>
      <w:marTop w:val="0"/>
      <w:marBottom w:val="0"/>
      <w:divBdr>
        <w:top w:val="none" w:sz="0" w:space="0" w:color="auto"/>
        <w:left w:val="none" w:sz="0" w:space="0" w:color="auto"/>
        <w:bottom w:val="none" w:sz="0" w:space="0" w:color="auto"/>
        <w:right w:val="none" w:sz="0" w:space="0" w:color="auto"/>
      </w:divBdr>
    </w:div>
    <w:div w:id="244654834">
      <w:marLeft w:val="0"/>
      <w:marRight w:val="0"/>
      <w:marTop w:val="0"/>
      <w:marBottom w:val="0"/>
      <w:divBdr>
        <w:top w:val="none" w:sz="0" w:space="0" w:color="auto"/>
        <w:left w:val="none" w:sz="0" w:space="0" w:color="auto"/>
        <w:bottom w:val="none" w:sz="0" w:space="0" w:color="auto"/>
        <w:right w:val="none" w:sz="0" w:space="0" w:color="auto"/>
      </w:divBdr>
    </w:div>
    <w:div w:id="244654835">
      <w:marLeft w:val="0"/>
      <w:marRight w:val="0"/>
      <w:marTop w:val="0"/>
      <w:marBottom w:val="0"/>
      <w:divBdr>
        <w:top w:val="none" w:sz="0" w:space="0" w:color="auto"/>
        <w:left w:val="none" w:sz="0" w:space="0" w:color="auto"/>
        <w:bottom w:val="none" w:sz="0" w:space="0" w:color="auto"/>
        <w:right w:val="none" w:sz="0" w:space="0" w:color="auto"/>
      </w:divBdr>
    </w:div>
    <w:div w:id="244654836">
      <w:marLeft w:val="0"/>
      <w:marRight w:val="0"/>
      <w:marTop w:val="0"/>
      <w:marBottom w:val="0"/>
      <w:divBdr>
        <w:top w:val="none" w:sz="0" w:space="0" w:color="auto"/>
        <w:left w:val="none" w:sz="0" w:space="0" w:color="auto"/>
        <w:bottom w:val="none" w:sz="0" w:space="0" w:color="auto"/>
        <w:right w:val="none" w:sz="0" w:space="0" w:color="auto"/>
      </w:divBdr>
    </w:div>
    <w:div w:id="244654837">
      <w:marLeft w:val="0"/>
      <w:marRight w:val="0"/>
      <w:marTop w:val="0"/>
      <w:marBottom w:val="0"/>
      <w:divBdr>
        <w:top w:val="none" w:sz="0" w:space="0" w:color="auto"/>
        <w:left w:val="none" w:sz="0" w:space="0" w:color="auto"/>
        <w:bottom w:val="none" w:sz="0" w:space="0" w:color="auto"/>
        <w:right w:val="none" w:sz="0" w:space="0" w:color="auto"/>
      </w:divBdr>
    </w:div>
    <w:div w:id="244654838">
      <w:marLeft w:val="0"/>
      <w:marRight w:val="0"/>
      <w:marTop w:val="0"/>
      <w:marBottom w:val="0"/>
      <w:divBdr>
        <w:top w:val="none" w:sz="0" w:space="0" w:color="auto"/>
        <w:left w:val="none" w:sz="0" w:space="0" w:color="auto"/>
        <w:bottom w:val="none" w:sz="0" w:space="0" w:color="auto"/>
        <w:right w:val="none" w:sz="0" w:space="0" w:color="auto"/>
      </w:divBdr>
    </w:div>
    <w:div w:id="244654839">
      <w:marLeft w:val="0"/>
      <w:marRight w:val="0"/>
      <w:marTop w:val="0"/>
      <w:marBottom w:val="0"/>
      <w:divBdr>
        <w:top w:val="none" w:sz="0" w:space="0" w:color="auto"/>
        <w:left w:val="none" w:sz="0" w:space="0" w:color="auto"/>
        <w:bottom w:val="none" w:sz="0" w:space="0" w:color="auto"/>
        <w:right w:val="none" w:sz="0" w:space="0" w:color="auto"/>
      </w:divBdr>
    </w:div>
    <w:div w:id="244654840">
      <w:marLeft w:val="0"/>
      <w:marRight w:val="0"/>
      <w:marTop w:val="0"/>
      <w:marBottom w:val="0"/>
      <w:divBdr>
        <w:top w:val="none" w:sz="0" w:space="0" w:color="auto"/>
        <w:left w:val="none" w:sz="0" w:space="0" w:color="auto"/>
        <w:bottom w:val="none" w:sz="0" w:space="0" w:color="auto"/>
        <w:right w:val="none" w:sz="0" w:space="0" w:color="auto"/>
      </w:divBdr>
    </w:div>
    <w:div w:id="244654841">
      <w:marLeft w:val="0"/>
      <w:marRight w:val="0"/>
      <w:marTop w:val="0"/>
      <w:marBottom w:val="0"/>
      <w:divBdr>
        <w:top w:val="none" w:sz="0" w:space="0" w:color="auto"/>
        <w:left w:val="none" w:sz="0" w:space="0" w:color="auto"/>
        <w:bottom w:val="none" w:sz="0" w:space="0" w:color="auto"/>
        <w:right w:val="none" w:sz="0" w:space="0" w:color="auto"/>
      </w:divBdr>
    </w:div>
    <w:div w:id="244654842">
      <w:marLeft w:val="0"/>
      <w:marRight w:val="0"/>
      <w:marTop w:val="0"/>
      <w:marBottom w:val="0"/>
      <w:divBdr>
        <w:top w:val="none" w:sz="0" w:space="0" w:color="auto"/>
        <w:left w:val="none" w:sz="0" w:space="0" w:color="auto"/>
        <w:bottom w:val="none" w:sz="0" w:space="0" w:color="auto"/>
        <w:right w:val="none" w:sz="0" w:space="0" w:color="auto"/>
      </w:divBdr>
    </w:div>
    <w:div w:id="244654843">
      <w:marLeft w:val="0"/>
      <w:marRight w:val="0"/>
      <w:marTop w:val="0"/>
      <w:marBottom w:val="0"/>
      <w:divBdr>
        <w:top w:val="none" w:sz="0" w:space="0" w:color="auto"/>
        <w:left w:val="none" w:sz="0" w:space="0" w:color="auto"/>
        <w:bottom w:val="none" w:sz="0" w:space="0" w:color="auto"/>
        <w:right w:val="none" w:sz="0" w:space="0" w:color="auto"/>
      </w:divBdr>
    </w:div>
    <w:div w:id="244654844">
      <w:marLeft w:val="0"/>
      <w:marRight w:val="0"/>
      <w:marTop w:val="0"/>
      <w:marBottom w:val="0"/>
      <w:divBdr>
        <w:top w:val="none" w:sz="0" w:space="0" w:color="auto"/>
        <w:left w:val="none" w:sz="0" w:space="0" w:color="auto"/>
        <w:bottom w:val="none" w:sz="0" w:space="0" w:color="auto"/>
        <w:right w:val="none" w:sz="0" w:space="0" w:color="auto"/>
      </w:divBdr>
    </w:div>
    <w:div w:id="244654845">
      <w:marLeft w:val="0"/>
      <w:marRight w:val="0"/>
      <w:marTop w:val="0"/>
      <w:marBottom w:val="0"/>
      <w:divBdr>
        <w:top w:val="none" w:sz="0" w:space="0" w:color="auto"/>
        <w:left w:val="none" w:sz="0" w:space="0" w:color="auto"/>
        <w:bottom w:val="none" w:sz="0" w:space="0" w:color="auto"/>
        <w:right w:val="none" w:sz="0" w:space="0" w:color="auto"/>
      </w:divBdr>
    </w:div>
    <w:div w:id="244654846">
      <w:marLeft w:val="0"/>
      <w:marRight w:val="0"/>
      <w:marTop w:val="0"/>
      <w:marBottom w:val="0"/>
      <w:divBdr>
        <w:top w:val="none" w:sz="0" w:space="0" w:color="auto"/>
        <w:left w:val="none" w:sz="0" w:space="0" w:color="auto"/>
        <w:bottom w:val="none" w:sz="0" w:space="0" w:color="auto"/>
        <w:right w:val="none" w:sz="0" w:space="0" w:color="auto"/>
      </w:divBdr>
    </w:div>
    <w:div w:id="244654847">
      <w:marLeft w:val="0"/>
      <w:marRight w:val="0"/>
      <w:marTop w:val="0"/>
      <w:marBottom w:val="0"/>
      <w:divBdr>
        <w:top w:val="none" w:sz="0" w:space="0" w:color="auto"/>
        <w:left w:val="none" w:sz="0" w:space="0" w:color="auto"/>
        <w:bottom w:val="none" w:sz="0" w:space="0" w:color="auto"/>
        <w:right w:val="none" w:sz="0" w:space="0" w:color="auto"/>
      </w:divBdr>
    </w:div>
    <w:div w:id="244654848">
      <w:marLeft w:val="0"/>
      <w:marRight w:val="0"/>
      <w:marTop w:val="0"/>
      <w:marBottom w:val="0"/>
      <w:divBdr>
        <w:top w:val="none" w:sz="0" w:space="0" w:color="auto"/>
        <w:left w:val="none" w:sz="0" w:space="0" w:color="auto"/>
        <w:bottom w:val="none" w:sz="0" w:space="0" w:color="auto"/>
        <w:right w:val="none" w:sz="0" w:space="0" w:color="auto"/>
      </w:divBdr>
    </w:div>
    <w:div w:id="244654849">
      <w:marLeft w:val="0"/>
      <w:marRight w:val="0"/>
      <w:marTop w:val="0"/>
      <w:marBottom w:val="0"/>
      <w:divBdr>
        <w:top w:val="none" w:sz="0" w:space="0" w:color="auto"/>
        <w:left w:val="none" w:sz="0" w:space="0" w:color="auto"/>
        <w:bottom w:val="none" w:sz="0" w:space="0" w:color="auto"/>
        <w:right w:val="none" w:sz="0" w:space="0" w:color="auto"/>
      </w:divBdr>
    </w:div>
    <w:div w:id="244654850">
      <w:marLeft w:val="0"/>
      <w:marRight w:val="0"/>
      <w:marTop w:val="0"/>
      <w:marBottom w:val="0"/>
      <w:divBdr>
        <w:top w:val="none" w:sz="0" w:space="0" w:color="auto"/>
        <w:left w:val="none" w:sz="0" w:space="0" w:color="auto"/>
        <w:bottom w:val="none" w:sz="0" w:space="0" w:color="auto"/>
        <w:right w:val="none" w:sz="0" w:space="0" w:color="auto"/>
      </w:divBdr>
    </w:div>
    <w:div w:id="244654851">
      <w:marLeft w:val="0"/>
      <w:marRight w:val="0"/>
      <w:marTop w:val="0"/>
      <w:marBottom w:val="0"/>
      <w:divBdr>
        <w:top w:val="none" w:sz="0" w:space="0" w:color="auto"/>
        <w:left w:val="none" w:sz="0" w:space="0" w:color="auto"/>
        <w:bottom w:val="none" w:sz="0" w:space="0" w:color="auto"/>
        <w:right w:val="none" w:sz="0" w:space="0" w:color="auto"/>
      </w:divBdr>
    </w:div>
    <w:div w:id="244654852">
      <w:marLeft w:val="0"/>
      <w:marRight w:val="0"/>
      <w:marTop w:val="0"/>
      <w:marBottom w:val="0"/>
      <w:divBdr>
        <w:top w:val="none" w:sz="0" w:space="0" w:color="auto"/>
        <w:left w:val="none" w:sz="0" w:space="0" w:color="auto"/>
        <w:bottom w:val="none" w:sz="0" w:space="0" w:color="auto"/>
        <w:right w:val="none" w:sz="0" w:space="0" w:color="auto"/>
      </w:divBdr>
    </w:div>
    <w:div w:id="244654853">
      <w:marLeft w:val="0"/>
      <w:marRight w:val="0"/>
      <w:marTop w:val="0"/>
      <w:marBottom w:val="0"/>
      <w:divBdr>
        <w:top w:val="none" w:sz="0" w:space="0" w:color="auto"/>
        <w:left w:val="none" w:sz="0" w:space="0" w:color="auto"/>
        <w:bottom w:val="none" w:sz="0" w:space="0" w:color="auto"/>
        <w:right w:val="none" w:sz="0" w:space="0" w:color="auto"/>
      </w:divBdr>
    </w:div>
    <w:div w:id="244654854">
      <w:marLeft w:val="0"/>
      <w:marRight w:val="0"/>
      <w:marTop w:val="0"/>
      <w:marBottom w:val="0"/>
      <w:divBdr>
        <w:top w:val="none" w:sz="0" w:space="0" w:color="auto"/>
        <w:left w:val="none" w:sz="0" w:space="0" w:color="auto"/>
        <w:bottom w:val="none" w:sz="0" w:space="0" w:color="auto"/>
        <w:right w:val="none" w:sz="0" w:space="0" w:color="auto"/>
      </w:divBdr>
    </w:div>
    <w:div w:id="244654855">
      <w:marLeft w:val="0"/>
      <w:marRight w:val="0"/>
      <w:marTop w:val="0"/>
      <w:marBottom w:val="0"/>
      <w:divBdr>
        <w:top w:val="none" w:sz="0" w:space="0" w:color="auto"/>
        <w:left w:val="none" w:sz="0" w:space="0" w:color="auto"/>
        <w:bottom w:val="none" w:sz="0" w:space="0" w:color="auto"/>
        <w:right w:val="none" w:sz="0" w:space="0" w:color="auto"/>
      </w:divBdr>
    </w:div>
    <w:div w:id="244654856">
      <w:marLeft w:val="0"/>
      <w:marRight w:val="0"/>
      <w:marTop w:val="0"/>
      <w:marBottom w:val="0"/>
      <w:divBdr>
        <w:top w:val="none" w:sz="0" w:space="0" w:color="auto"/>
        <w:left w:val="none" w:sz="0" w:space="0" w:color="auto"/>
        <w:bottom w:val="none" w:sz="0" w:space="0" w:color="auto"/>
        <w:right w:val="none" w:sz="0" w:space="0" w:color="auto"/>
      </w:divBdr>
    </w:div>
    <w:div w:id="344672287">
      <w:bodyDiv w:val="1"/>
      <w:marLeft w:val="0"/>
      <w:marRight w:val="0"/>
      <w:marTop w:val="0"/>
      <w:marBottom w:val="0"/>
      <w:divBdr>
        <w:top w:val="none" w:sz="0" w:space="0" w:color="auto"/>
        <w:left w:val="none" w:sz="0" w:space="0" w:color="auto"/>
        <w:bottom w:val="none" w:sz="0" w:space="0" w:color="auto"/>
        <w:right w:val="none" w:sz="0" w:space="0" w:color="auto"/>
      </w:divBdr>
    </w:div>
    <w:div w:id="360978454">
      <w:bodyDiv w:val="1"/>
      <w:marLeft w:val="0"/>
      <w:marRight w:val="0"/>
      <w:marTop w:val="0"/>
      <w:marBottom w:val="0"/>
      <w:divBdr>
        <w:top w:val="none" w:sz="0" w:space="0" w:color="auto"/>
        <w:left w:val="none" w:sz="0" w:space="0" w:color="auto"/>
        <w:bottom w:val="none" w:sz="0" w:space="0" w:color="auto"/>
        <w:right w:val="none" w:sz="0" w:space="0" w:color="auto"/>
      </w:divBdr>
    </w:div>
    <w:div w:id="363529359">
      <w:bodyDiv w:val="1"/>
      <w:marLeft w:val="0"/>
      <w:marRight w:val="0"/>
      <w:marTop w:val="0"/>
      <w:marBottom w:val="0"/>
      <w:divBdr>
        <w:top w:val="none" w:sz="0" w:space="0" w:color="auto"/>
        <w:left w:val="none" w:sz="0" w:space="0" w:color="auto"/>
        <w:bottom w:val="none" w:sz="0" w:space="0" w:color="auto"/>
        <w:right w:val="none" w:sz="0" w:space="0" w:color="auto"/>
      </w:divBdr>
    </w:div>
    <w:div w:id="416630695">
      <w:bodyDiv w:val="1"/>
      <w:marLeft w:val="0"/>
      <w:marRight w:val="0"/>
      <w:marTop w:val="0"/>
      <w:marBottom w:val="0"/>
      <w:divBdr>
        <w:top w:val="none" w:sz="0" w:space="0" w:color="auto"/>
        <w:left w:val="none" w:sz="0" w:space="0" w:color="auto"/>
        <w:bottom w:val="none" w:sz="0" w:space="0" w:color="auto"/>
        <w:right w:val="none" w:sz="0" w:space="0" w:color="auto"/>
      </w:divBdr>
    </w:div>
    <w:div w:id="422840920">
      <w:bodyDiv w:val="1"/>
      <w:marLeft w:val="0"/>
      <w:marRight w:val="0"/>
      <w:marTop w:val="0"/>
      <w:marBottom w:val="0"/>
      <w:divBdr>
        <w:top w:val="none" w:sz="0" w:space="0" w:color="auto"/>
        <w:left w:val="none" w:sz="0" w:space="0" w:color="auto"/>
        <w:bottom w:val="none" w:sz="0" w:space="0" w:color="auto"/>
        <w:right w:val="none" w:sz="0" w:space="0" w:color="auto"/>
      </w:divBdr>
    </w:div>
    <w:div w:id="464084429">
      <w:bodyDiv w:val="1"/>
      <w:marLeft w:val="0"/>
      <w:marRight w:val="0"/>
      <w:marTop w:val="0"/>
      <w:marBottom w:val="0"/>
      <w:divBdr>
        <w:top w:val="none" w:sz="0" w:space="0" w:color="auto"/>
        <w:left w:val="none" w:sz="0" w:space="0" w:color="auto"/>
        <w:bottom w:val="none" w:sz="0" w:space="0" w:color="auto"/>
        <w:right w:val="none" w:sz="0" w:space="0" w:color="auto"/>
      </w:divBdr>
    </w:div>
    <w:div w:id="474759039">
      <w:bodyDiv w:val="1"/>
      <w:marLeft w:val="0"/>
      <w:marRight w:val="0"/>
      <w:marTop w:val="0"/>
      <w:marBottom w:val="0"/>
      <w:divBdr>
        <w:top w:val="none" w:sz="0" w:space="0" w:color="auto"/>
        <w:left w:val="none" w:sz="0" w:space="0" w:color="auto"/>
        <w:bottom w:val="none" w:sz="0" w:space="0" w:color="auto"/>
        <w:right w:val="none" w:sz="0" w:space="0" w:color="auto"/>
      </w:divBdr>
    </w:div>
    <w:div w:id="520315510">
      <w:bodyDiv w:val="1"/>
      <w:marLeft w:val="0"/>
      <w:marRight w:val="0"/>
      <w:marTop w:val="0"/>
      <w:marBottom w:val="0"/>
      <w:divBdr>
        <w:top w:val="none" w:sz="0" w:space="0" w:color="auto"/>
        <w:left w:val="none" w:sz="0" w:space="0" w:color="auto"/>
        <w:bottom w:val="none" w:sz="0" w:space="0" w:color="auto"/>
        <w:right w:val="none" w:sz="0" w:space="0" w:color="auto"/>
      </w:divBdr>
    </w:div>
    <w:div w:id="568610338">
      <w:bodyDiv w:val="1"/>
      <w:marLeft w:val="0"/>
      <w:marRight w:val="0"/>
      <w:marTop w:val="0"/>
      <w:marBottom w:val="0"/>
      <w:divBdr>
        <w:top w:val="none" w:sz="0" w:space="0" w:color="auto"/>
        <w:left w:val="none" w:sz="0" w:space="0" w:color="auto"/>
        <w:bottom w:val="none" w:sz="0" w:space="0" w:color="auto"/>
        <w:right w:val="none" w:sz="0" w:space="0" w:color="auto"/>
      </w:divBdr>
    </w:div>
    <w:div w:id="588465551">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633295077">
      <w:bodyDiv w:val="1"/>
      <w:marLeft w:val="0"/>
      <w:marRight w:val="0"/>
      <w:marTop w:val="0"/>
      <w:marBottom w:val="0"/>
      <w:divBdr>
        <w:top w:val="none" w:sz="0" w:space="0" w:color="auto"/>
        <w:left w:val="none" w:sz="0" w:space="0" w:color="auto"/>
        <w:bottom w:val="none" w:sz="0" w:space="0" w:color="auto"/>
        <w:right w:val="none" w:sz="0" w:space="0" w:color="auto"/>
      </w:divBdr>
    </w:div>
    <w:div w:id="645162502">
      <w:bodyDiv w:val="1"/>
      <w:marLeft w:val="0"/>
      <w:marRight w:val="0"/>
      <w:marTop w:val="0"/>
      <w:marBottom w:val="0"/>
      <w:divBdr>
        <w:top w:val="none" w:sz="0" w:space="0" w:color="auto"/>
        <w:left w:val="none" w:sz="0" w:space="0" w:color="auto"/>
        <w:bottom w:val="none" w:sz="0" w:space="0" w:color="auto"/>
        <w:right w:val="none" w:sz="0" w:space="0" w:color="auto"/>
      </w:divBdr>
    </w:div>
    <w:div w:id="681975621">
      <w:bodyDiv w:val="1"/>
      <w:marLeft w:val="0"/>
      <w:marRight w:val="0"/>
      <w:marTop w:val="0"/>
      <w:marBottom w:val="0"/>
      <w:divBdr>
        <w:top w:val="none" w:sz="0" w:space="0" w:color="auto"/>
        <w:left w:val="none" w:sz="0" w:space="0" w:color="auto"/>
        <w:bottom w:val="none" w:sz="0" w:space="0" w:color="auto"/>
        <w:right w:val="none" w:sz="0" w:space="0" w:color="auto"/>
      </w:divBdr>
    </w:div>
    <w:div w:id="701134397">
      <w:bodyDiv w:val="1"/>
      <w:marLeft w:val="0"/>
      <w:marRight w:val="0"/>
      <w:marTop w:val="0"/>
      <w:marBottom w:val="0"/>
      <w:divBdr>
        <w:top w:val="none" w:sz="0" w:space="0" w:color="auto"/>
        <w:left w:val="none" w:sz="0" w:space="0" w:color="auto"/>
        <w:bottom w:val="none" w:sz="0" w:space="0" w:color="auto"/>
        <w:right w:val="none" w:sz="0" w:space="0" w:color="auto"/>
      </w:divBdr>
      <w:divsChild>
        <w:div w:id="399987869">
          <w:marLeft w:val="0"/>
          <w:marRight w:val="0"/>
          <w:marTop w:val="0"/>
          <w:marBottom w:val="0"/>
          <w:divBdr>
            <w:top w:val="none" w:sz="0" w:space="0" w:color="auto"/>
            <w:left w:val="none" w:sz="0" w:space="0" w:color="auto"/>
            <w:bottom w:val="none" w:sz="0" w:space="0" w:color="auto"/>
            <w:right w:val="none" w:sz="0" w:space="0" w:color="auto"/>
          </w:divBdr>
        </w:div>
      </w:divsChild>
    </w:div>
    <w:div w:id="753670925">
      <w:bodyDiv w:val="1"/>
      <w:marLeft w:val="0"/>
      <w:marRight w:val="0"/>
      <w:marTop w:val="0"/>
      <w:marBottom w:val="0"/>
      <w:divBdr>
        <w:top w:val="none" w:sz="0" w:space="0" w:color="auto"/>
        <w:left w:val="none" w:sz="0" w:space="0" w:color="auto"/>
        <w:bottom w:val="none" w:sz="0" w:space="0" w:color="auto"/>
        <w:right w:val="none" w:sz="0" w:space="0" w:color="auto"/>
      </w:divBdr>
    </w:div>
    <w:div w:id="801769987">
      <w:bodyDiv w:val="1"/>
      <w:marLeft w:val="0"/>
      <w:marRight w:val="0"/>
      <w:marTop w:val="0"/>
      <w:marBottom w:val="0"/>
      <w:divBdr>
        <w:top w:val="none" w:sz="0" w:space="0" w:color="auto"/>
        <w:left w:val="none" w:sz="0" w:space="0" w:color="auto"/>
        <w:bottom w:val="none" w:sz="0" w:space="0" w:color="auto"/>
        <w:right w:val="none" w:sz="0" w:space="0" w:color="auto"/>
      </w:divBdr>
    </w:div>
    <w:div w:id="804541113">
      <w:bodyDiv w:val="1"/>
      <w:marLeft w:val="0"/>
      <w:marRight w:val="0"/>
      <w:marTop w:val="0"/>
      <w:marBottom w:val="0"/>
      <w:divBdr>
        <w:top w:val="none" w:sz="0" w:space="0" w:color="auto"/>
        <w:left w:val="none" w:sz="0" w:space="0" w:color="auto"/>
        <w:bottom w:val="none" w:sz="0" w:space="0" w:color="auto"/>
        <w:right w:val="none" w:sz="0" w:space="0" w:color="auto"/>
      </w:divBdr>
    </w:div>
    <w:div w:id="828639230">
      <w:bodyDiv w:val="1"/>
      <w:marLeft w:val="0"/>
      <w:marRight w:val="0"/>
      <w:marTop w:val="0"/>
      <w:marBottom w:val="0"/>
      <w:divBdr>
        <w:top w:val="none" w:sz="0" w:space="0" w:color="auto"/>
        <w:left w:val="none" w:sz="0" w:space="0" w:color="auto"/>
        <w:bottom w:val="none" w:sz="0" w:space="0" w:color="auto"/>
        <w:right w:val="none" w:sz="0" w:space="0" w:color="auto"/>
      </w:divBdr>
    </w:div>
    <w:div w:id="910895503">
      <w:bodyDiv w:val="1"/>
      <w:marLeft w:val="0"/>
      <w:marRight w:val="0"/>
      <w:marTop w:val="0"/>
      <w:marBottom w:val="0"/>
      <w:divBdr>
        <w:top w:val="none" w:sz="0" w:space="0" w:color="auto"/>
        <w:left w:val="none" w:sz="0" w:space="0" w:color="auto"/>
        <w:bottom w:val="none" w:sz="0" w:space="0" w:color="auto"/>
        <w:right w:val="none" w:sz="0" w:space="0" w:color="auto"/>
      </w:divBdr>
    </w:div>
    <w:div w:id="982392222">
      <w:bodyDiv w:val="1"/>
      <w:marLeft w:val="0"/>
      <w:marRight w:val="0"/>
      <w:marTop w:val="0"/>
      <w:marBottom w:val="0"/>
      <w:divBdr>
        <w:top w:val="none" w:sz="0" w:space="0" w:color="auto"/>
        <w:left w:val="none" w:sz="0" w:space="0" w:color="auto"/>
        <w:bottom w:val="none" w:sz="0" w:space="0" w:color="auto"/>
        <w:right w:val="none" w:sz="0" w:space="0" w:color="auto"/>
      </w:divBdr>
    </w:div>
    <w:div w:id="1137067103">
      <w:bodyDiv w:val="1"/>
      <w:marLeft w:val="0"/>
      <w:marRight w:val="0"/>
      <w:marTop w:val="0"/>
      <w:marBottom w:val="0"/>
      <w:divBdr>
        <w:top w:val="none" w:sz="0" w:space="0" w:color="auto"/>
        <w:left w:val="none" w:sz="0" w:space="0" w:color="auto"/>
        <w:bottom w:val="none" w:sz="0" w:space="0" w:color="auto"/>
        <w:right w:val="none" w:sz="0" w:space="0" w:color="auto"/>
      </w:divBdr>
    </w:div>
    <w:div w:id="1182014261">
      <w:bodyDiv w:val="1"/>
      <w:marLeft w:val="0"/>
      <w:marRight w:val="0"/>
      <w:marTop w:val="0"/>
      <w:marBottom w:val="0"/>
      <w:divBdr>
        <w:top w:val="none" w:sz="0" w:space="0" w:color="auto"/>
        <w:left w:val="none" w:sz="0" w:space="0" w:color="auto"/>
        <w:bottom w:val="none" w:sz="0" w:space="0" w:color="auto"/>
        <w:right w:val="none" w:sz="0" w:space="0" w:color="auto"/>
      </w:divBdr>
    </w:div>
    <w:div w:id="1209992327">
      <w:bodyDiv w:val="1"/>
      <w:marLeft w:val="0"/>
      <w:marRight w:val="0"/>
      <w:marTop w:val="0"/>
      <w:marBottom w:val="0"/>
      <w:divBdr>
        <w:top w:val="none" w:sz="0" w:space="0" w:color="auto"/>
        <w:left w:val="none" w:sz="0" w:space="0" w:color="auto"/>
        <w:bottom w:val="none" w:sz="0" w:space="0" w:color="auto"/>
        <w:right w:val="none" w:sz="0" w:space="0" w:color="auto"/>
      </w:divBdr>
    </w:div>
    <w:div w:id="1247693016">
      <w:bodyDiv w:val="1"/>
      <w:marLeft w:val="0"/>
      <w:marRight w:val="0"/>
      <w:marTop w:val="0"/>
      <w:marBottom w:val="0"/>
      <w:divBdr>
        <w:top w:val="none" w:sz="0" w:space="0" w:color="auto"/>
        <w:left w:val="none" w:sz="0" w:space="0" w:color="auto"/>
        <w:bottom w:val="none" w:sz="0" w:space="0" w:color="auto"/>
        <w:right w:val="none" w:sz="0" w:space="0" w:color="auto"/>
      </w:divBdr>
    </w:div>
    <w:div w:id="1254824632">
      <w:bodyDiv w:val="1"/>
      <w:marLeft w:val="0"/>
      <w:marRight w:val="0"/>
      <w:marTop w:val="0"/>
      <w:marBottom w:val="0"/>
      <w:divBdr>
        <w:top w:val="none" w:sz="0" w:space="0" w:color="auto"/>
        <w:left w:val="none" w:sz="0" w:space="0" w:color="auto"/>
        <w:bottom w:val="none" w:sz="0" w:space="0" w:color="auto"/>
        <w:right w:val="none" w:sz="0" w:space="0" w:color="auto"/>
      </w:divBdr>
    </w:div>
    <w:div w:id="1283226420">
      <w:bodyDiv w:val="1"/>
      <w:marLeft w:val="0"/>
      <w:marRight w:val="0"/>
      <w:marTop w:val="0"/>
      <w:marBottom w:val="0"/>
      <w:divBdr>
        <w:top w:val="none" w:sz="0" w:space="0" w:color="auto"/>
        <w:left w:val="none" w:sz="0" w:space="0" w:color="auto"/>
        <w:bottom w:val="none" w:sz="0" w:space="0" w:color="auto"/>
        <w:right w:val="none" w:sz="0" w:space="0" w:color="auto"/>
      </w:divBdr>
    </w:div>
    <w:div w:id="1353535232">
      <w:bodyDiv w:val="1"/>
      <w:marLeft w:val="0"/>
      <w:marRight w:val="0"/>
      <w:marTop w:val="0"/>
      <w:marBottom w:val="0"/>
      <w:divBdr>
        <w:top w:val="none" w:sz="0" w:space="0" w:color="auto"/>
        <w:left w:val="none" w:sz="0" w:space="0" w:color="auto"/>
        <w:bottom w:val="none" w:sz="0" w:space="0" w:color="auto"/>
        <w:right w:val="none" w:sz="0" w:space="0" w:color="auto"/>
      </w:divBdr>
    </w:div>
    <w:div w:id="1367288843">
      <w:bodyDiv w:val="1"/>
      <w:marLeft w:val="0"/>
      <w:marRight w:val="0"/>
      <w:marTop w:val="0"/>
      <w:marBottom w:val="0"/>
      <w:divBdr>
        <w:top w:val="none" w:sz="0" w:space="0" w:color="auto"/>
        <w:left w:val="none" w:sz="0" w:space="0" w:color="auto"/>
        <w:bottom w:val="none" w:sz="0" w:space="0" w:color="auto"/>
        <w:right w:val="none" w:sz="0" w:space="0" w:color="auto"/>
      </w:divBdr>
    </w:div>
    <w:div w:id="1452477385">
      <w:bodyDiv w:val="1"/>
      <w:marLeft w:val="0"/>
      <w:marRight w:val="0"/>
      <w:marTop w:val="0"/>
      <w:marBottom w:val="0"/>
      <w:divBdr>
        <w:top w:val="none" w:sz="0" w:space="0" w:color="auto"/>
        <w:left w:val="none" w:sz="0" w:space="0" w:color="auto"/>
        <w:bottom w:val="none" w:sz="0" w:space="0" w:color="auto"/>
        <w:right w:val="none" w:sz="0" w:space="0" w:color="auto"/>
      </w:divBdr>
      <w:divsChild>
        <w:div w:id="185679425">
          <w:marLeft w:val="0"/>
          <w:marRight w:val="0"/>
          <w:marTop w:val="0"/>
          <w:marBottom w:val="0"/>
          <w:divBdr>
            <w:top w:val="none" w:sz="0" w:space="0" w:color="auto"/>
            <w:left w:val="none" w:sz="0" w:space="0" w:color="auto"/>
            <w:bottom w:val="none" w:sz="0" w:space="0" w:color="auto"/>
            <w:right w:val="none" w:sz="0" w:space="0" w:color="auto"/>
          </w:divBdr>
        </w:div>
      </w:divsChild>
    </w:div>
    <w:div w:id="1488091755">
      <w:bodyDiv w:val="1"/>
      <w:marLeft w:val="0"/>
      <w:marRight w:val="0"/>
      <w:marTop w:val="0"/>
      <w:marBottom w:val="0"/>
      <w:divBdr>
        <w:top w:val="none" w:sz="0" w:space="0" w:color="auto"/>
        <w:left w:val="none" w:sz="0" w:space="0" w:color="auto"/>
        <w:bottom w:val="none" w:sz="0" w:space="0" w:color="auto"/>
        <w:right w:val="none" w:sz="0" w:space="0" w:color="auto"/>
      </w:divBdr>
    </w:div>
    <w:div w:id="1513686028">
      <w:bodyDiv w:val="1"/>
      <w:marLeft w:val="0"/>
      <w:marRight w:val="0"/>
      <w:marTop w:val="0"/>
      <w:marBottom w:val="0"/>
      <w:divBdr>
        <w:top w:val="none" w:sz="0" w:space="0" w:color="auto"/>
        <w:left w:val="none" w:sz="0" w:space="0" w:color="auto"/>
        <w:bottom w:val="none" w:sz="0" w:space="0" w:color="auto"/>
        <w:right w:val="none" w:sz="0" w:space="0" w:color="auto"/>
      </w:divBdr>
    </w:div>
    <w:div w:id="1521511752">
      <w:bodyDiv w:val="1"/>
      <w:marLeft w:val="0"/>
      <w:marRight w:val="0"/>
      <w:marTop w:val="0"/>
      <w:marBottom w:val="0"/>
      <w:divBdr>
        <w:top w:val="none" w:sz="0" w:space="0" w:color="auto"/>
        <w:left w:val="none" w:sz="0" w:space="0" w:color="auto"/>
        <w:bottom w:val="none" w:sz="0" w:space="0" w:color="auto"/>
        <w:right w:val="none" w:sz="0" w:space="0" w:color="auto"/>
      </w:divBdr>
    </w:div>
    <w:div w:id="1526558675">
      <w:bodyDiv w:val="1"/>
      <w:marLeft w:val="0"/>
      <w:marRight w:val="0"/>
      <w:marTop w:val="0"/>
      <w:marBottom w:val="0"/>
      <w:divBdr>
        <w:top w:val="none" w:sz="0" w:space="0" w:color="auto"/>
        <w:left w:val="none" w:sz="0" w:space="0" w:color="auto"/>
        <w:bottom w:val="none" w:sz="0" w:space="0" w:color="auto"/>
        <w:right w:val="none" w:sz="0" w:space="0" w:color="auto"/>
      </w:divBdr>
    </w:div>
    <w:div w:id="1534491350">
      <w:bodyDiv w:val="1"/>
      <w:marLeft w:val="0"/>
      <w:marRight w:val="0"/>
      <w:marTop w:val="0"/>
      <w:marBottom w:val="0"/>
      <w:divBdr>
        <w:top w:val="none" w:sz="0" w:space="0" w:color="auto"/>
        <w:left w:val="none" w:sz="0" w:space="0" w:color="auto"/>
        <w:bottom w:val="none" w:sz="0" w:space="0" w:color="auto"/>
        <w:right w:val="none" w:sz="0" w:space="0" w:color="auto"/>
      </w:divBdr>
      <w:divsChild>
        <w:div w:id="229970797">
          <w:marLeft w:val="0"/>
          <w:marRight w:val="0"/>
          <w:marTop w:val="0"/>
          <w:marBottom w:val="0"/>
          <w:divBdr>
            <w:top w:val="none" w:sz="0" w:space="0" w:color="auto"/>
            <w:left w:val="none" w:sz="0" w:space="0" w:color="auto"/>
            <w:bottom w:val="none" w:sz="0" w:space="0" w:color="auto"/>
            <w:right w:val="none" w:sz="0" w:space="0" w:color="auto"/>
          </w:divBdr>
        </w:div>
      </w:divsChild>
    </w:div>
    <w:div w:id="1535189568">
      <w:bodyDiv w:val="1"/>
      <w:marLeft w:val="0"/>
      <w:marRight w:val="0"/>
      <w:marTop w:val="0"/>
      <w:marBottom w:val="0"/>
      <w:divBdr>
        <w:top w:val="none" w:sz="0" w:space="0" w:color="auto"/>
        <w:left w:val="none" w:sz="0" w:space="0" w:color="auto"/>
        <w:bottom w:val="none" w:sz="0" w:space="0" w:color="auto"/>
        <w:right w:val="none" w:sz="0" w:space="0" w:color="auto"/>
      </w:divBdr>
    </w:div>
    <w:div w:id="1562788062">
      <w:bodyDiv w:val="1"/>
      <w:marLeft w:val="0"/>
      <w:marRight w:val="0"/>
      <w:marTop w:val="0"/>
      <w:marBottom w:val="0"/>
      <w:divBdr>
        <w:top w:val="none" w:sz="0" w:space="0" w:color="auto"/>
        <w:left w:val="none" w:sz="0" w:space="0" w:color="auto"/>
        <w:bottom w:val="none" w:sz="0" w:space="0" w:color="auto"/>
        <w:right w:val="none" w:sz="0" w:space="0" w:color="auto"/>
      </w:divBdr>
    </w:div>
    <w:div w:id="1631353887">
      <w:bodyDiv w:val="1"/>
      <w:marLeft w:val="0"/>
      <w:marRight w:val="0"/>
      <w:marTop w:val="0"/>
      <w:marBottom w:val="0"/>
      <w:divBdr>
        <w:top w:val="none" w:sz="0" w:space="0" w:color="auto"/>
        <w:left w:val="none" w:sz="0" w:space="0" w:color="auto"/>
        <w:bottom w:val="none" w:sz="0" w:space="0" w:color="auto"/>
        <w:right w:val="none" w:sz="0" w:space="0" w:color="auto"/>
      </w:divBdr>
    </w:div>
    <w:div w:id="1632977369">
      <w:bodyDiv w:val="1"/>
      <w:marLeft w:val="0"/>
      <w:marRight w:val="0"/>
      <w:marTop w:val="0"/>
      <w:marBottom w:val="0"/>
      <w:divBdr>
        <w:top w:val="none" w:sz="0" w:space="0" w:color="auto"/>
        <w:left w:val="none" w:sz="0" w:space="0" w:color="auto"/>
        <w:bottom w:val="none" w:sz="0" w:space="0" w:color="auto"/>
        <w:right w:val="none" w:sz="0" w:space="0" w:color="auto"/>
      </w:divBdr>
    </w:div>
    <w:div w:id="1729719712">
      <w:bodyDiv w:val="1"/>
      <w:marLeft w:val="0"/>
      <w:marRight w:val="0"/>
      <w:marTop w:val="0"/>
      <w:marBottom w:val="0"/>
      <w:divBdr>
        <w:top w:val="none" w:sz="0" w:space="0" w:color="auto"/>
        <w:left w:val="none" w:sz="0" w:space="0" w:color="auto"/>
        <w:bottom w:val="none" w:sz="0" w:space="0" w:color="auto"/>
        <w:right w:val="none" w:sz="0" w:space="0" w:color="auto"/>
      </w:divBdr>
    </w:div>
    <w:div w:id="1771509476">
      <w:bodyDiv w:val="1"/>
      <w:marLeft w:val="0"/>
      <w:marRight w:val="0"/>
      <w:marTop w:val="0"/>
      <w:marBottom w:val="0"/>
      <w:divBdr>
        <w:top w:val="none" w:sz="0" w:space="0" w:color="auto"/>
        <w:left w:val="none" w:sz="0" w:space="0" w:color="auto"/>
        <w:bottom w:val="none" w:sz="0" w:space="0" w:color="auto"/>
        <w:right w:val="none" w:sz="0" w:space="0" w:color="auto"/>
      </w:divBdr>
    </w:div>
    <w:div w:id="1776094285">
      <w:bodyDiv w:val="1"/>
      <w:marLeft w:val="0"/>
      <w:marRight w:val="0"/>
      <w:marTop w:val="0"/>
      <w:marBottom w:val="0"/>
      <w:divBdr>
        <w:top w:val="none" w:sz="0" w:space="0" w:color="auto"/>
        <w:left w:val="none" w:sz="0" w:space="0" w:color="auto"/>
        <w:bottom w:val="none" w:sz="0" w:space="0" w:color="auto"/>
        <w:right w:val="none" w:sz="0" w:space="0" w:color="auto"/>
      </w:divBdr>
    </w:div>
    <w:div w:id="1794909171">
      <w:bodyDiv w:val="1"/>
      <w:marLeft w:val="0"/>
      <w:marRight w:val="0"/>
      <w:marTop w:val="0"/>
      <w:marBottom w:val="0"/>
      <w:divBdr>
        <w:top w:val="none" w:sz="0" w:space="0" w:color="auto"/>
        <w:left w:val="none" w:sz="0" w:space="0" w:color="auto"/>
        <w:bottom w:val="none" w:sz="0" w:space="0" w:color="auto"/>
        <w:right w:val="none" w:sz="0" w:space="0" w:color="auto"/>
      </w:divBdr>
    </w:div>
    <w:div w:id="1852836415">
      <w:bodyDiv w:val="1"/>
      <w:marLeft w:val="0"/>
      <w:marRight w:val="0"/>
      <w:marTop w:val="0"/>
      <w:marBottom w:val="0"/>
      <w:divBdr>
        <w:top w:val="none" w:sz="0" w:space="0" w:color="auto"/>
        <w:left w:val="none" w:sz="0" w:space="0" w:color="auto"/>
        <w:bottom w:val="none" w:sz="0" w:space="0" w:color="auto"/>
        <w:right w:val="none" w:sz="0" w:space="0" w:color="auto"/>
      </w:divBdr>
    </w:div>
    <w:div w:id="1911844389">
      <w:bodyDiv w:val="1"/>
      <w:marLeft w:val="0"/>
      <w:marRight w:val="0"/>
      <w:marTop w:val="0"/>
      <w:marBottom w:val="0"/>
      <w:divBdr>
        <w:top w:val="none" w:sz="0" w:space="0" w:color="auto"/>
        <w:left w:val="none" w:sz="0" w:space="0" w:color="auto"/>
        <w:bottom w:val="none" w:sz="0" w:space="0" w:color="auto"/>
        <w:right w:val="none" w:sz="0" w:space="0" w:color="auto"/>
      </w:divBdr>
    </w:div>
    <w:div w:id="1918249963">
      <w:bodyDiv w:val="1"/>
      <w:marLeft w:val="0"/>
      <w:marRight w:val="0"/>
      <w:marTop w:val="0"/>
      <w:marBottom w:val="0"/>
      <w:divBdr>
        <w:top w:val="none" w:sz="0" w:space="0" w:color="auto"/>
        <w:left w:val="none" w:sz="0" w:space="0" w:color="auto"/>
        <w:bottom w:val="none" w:sz="0" w:space="0" w:color="auto"/>
        <w:right w:val="none" w:sz="0" w:space="0" w:color="auto"/>
      </w:divBdr>
    </w:div>
    <w:div w:id="1967466844">
      <w:bodyDiv w:val="1"/>
      <w:marLeft w:val="0"/>
      <w:marRight w:val="0"/>
      <w:marTop w:val="0"/>
      <w:marBottom w:val="0"/>
      <w:divBdr>
        <w:top w:val="none" w:sz="0" w:space="0" w:color="auto"/>
        <w:left w:val="none" w:sz="0" w:space="0" w:color="auto"/>
        <w:bottom w:val="none" w:sz="0" w:space="0" w:color="auto"/>
        <w:right w:val="none" w:sz="0" w:space="0" w:color="auto"/>
      </w:divBdr>
    </w:div>
    <w:div w:id="2060474828">
      <w:bodyDiv w:val="1"/>
      <w:marLeft w:val="0"/>
      <w:marRight w:val="0"/>
      <w:marTop w:val="0"/>
      <w:marBottom w:val="0"/>
      <w:divBdr>
        <w:top w:val="none" w:sz="0" w:space="0" w:color="auto"/>
        <w:left w:val="none" w:sz="0" w:space="0" w:color="auto"/>
        <w:bottom w:val="none" w:sz="0" w:space="0" w:color="auto"/>
        <w:right w:val="none" w:sz="0" w:space="0" w:color="auto"/>
      </w:divBdr>
    </w:div>
    <w:div w:id="2070810927">
      <w:bodyDiv w:val="1"/>
      <w:marLeft w:val="0"/>
      <w:marRight w:val="0"/>
      <w:marTop w:val="0"/>
      <w:marBottom w:val="0"/>
      <w:divBdr>
        <w:top w:val="none" w:sz="0" w:space="0" w:color="auto"/>
        <w:left w:val="none" w:sz="0" w:space="0" w:color="auto"/>
        <w:bottom w:val="none" w:sz="0" w:space="0" w:color="auto"/>
        <w:right w:val="none" w:sz="0" w:space="0" w:color="auto"/>
      </w:divBdr>
    </w:div>
    <w:div w:id="2076539569">
      <w:bodyDiv w:val="1"/>
      <w:marLeft w:val="0"/>
      <w:marRight w:val="0"/>
      <w:marTop w:val="0"/>
      <w:marBottom w:val="0"/>
      <w:divBdr>
        <w:top w:val="none" w:sz="0" w:space="0" w:color="auto"/>
        <w:left w:val="none" w:sz="0" w:space="0" w:color="auto"/>
        <w:bottom w:val="none" w:sz="0" w:space="0" w:color="auto"/>
        <w:right w:val="none" w:sz="0" w:space="0" w:color="auto"/>
      </w:divBdr>
    </w:div>
    <w:div w:id="2086680415">
      <w:bodyDiv w:val="1"/>
      <w:marLeft w:val="0"/>
      <w:marRight w:val="0"/>
      <w:marTop w:val="0"/>
      <w:marBottom w:val="0"/>
      <w:divBdr>
        <w:top w:val="none" w:sz="0" w:space="0" w:color="auto"/>
        <w:left w:val="none" w:sz="0" w:space="0" w:color="auto"/>
        <w:bottom w:val="none" w:sz="0" w:space="0" w:color="auto"/>
        <w:right w:val="none" w:sz="0" w:space="0" w:color="auto"/>
      </w:divBdr>
    </w:div>
    <w:div w:id="212199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4EB3D-2479-49FD-9C73-E9890883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18</Pages>
  <Words>4639</Words>
  <Characters>26445</Characters>
  <Application>Microsoft Office Word</Application>
  <DocSecurity>0</DocSecurity>
  <Lines>220</Lines>
  <Paragraphs>62</Paragraphs>
  <ScaleCrop>false</ScaleCrop>
  <HeadingPairs>
    <vt:vector size="6" baseType="variant">
      <vt:variant>
        <vt:lpstr>Title</vt:lpstr>
      </vt:variant>
      <vt:variant>
        <vt:i4>1</vt:i4>
      </vt:variant>
      <vt:variant>
        <vt:lpstr>العنوان</vt:lpstr>
      </vt:variant>
      <vt:variant>
        <vt:i4>1</vt:i4>
      </vt:variant>
      <vt:variant>
        <vt:lpstr>Τίτλος</vt:lpstr>
      </vt:variant>
      <vt:variant>
        <vt:i4>1</vt:i4>
      </vt:variant>
    </vt:vector>
  </HeadingPairs>
  <TitlesOfParts>
    <vt:vector size="3" baseType="lpstr">
      <vt:lpstr/>
      <vt:lpstr/>
      <vt:lpstr/>
    </vt:vector>
  </TitlesOfParts>
  <Company>HP Inc.</Company>
  <LinksUpToDate>false</LinksUpToDate>
  <CharactersWithSpaces>31022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Rasha Sarrawi</cp:lastModifiedBy>
  <cp:revision>7</cp:revision>
  <cp:lastPrinted>2020-09-01T06:31:00Z</cp:lastPrinted>
  <dcterms:created xsi:type="dcterms:W3CDTF">2020-08-31T08:08:00Z</dcterms:created>
  <dcterms:modified xsi:type="dcterms:W3CDTF">2020-09-07T11:44:00Z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http://www.zotero.org/styles/journal-of-rural-studies</vt:lpwstr>
  </property>
  <property fmtid="{D5CDD505-2E9C-101B-9397-08002B2CF9AE}" pid="15" name="Mendeley Recent Style Name 6_1">
    <vt:lpwstr>Journal of Rural Studies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